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7FD1D" w14:textId="77777777" w:rsidR="00F46380" w:rsidRPr="006516E4" w:rsidRDefault="00F46380" w:rsidP="00F46380">
      <w:pPr>
        <w:pStyle w:val="Heading1"/>
        <w:rPr>
          <w:color w:val="FF0000"/>
          <w:sz w:val="36"/>
          <w:szCs w:val="36"/>
        </w:rPr>
      </w:pPr>
      <w:bookmarkStart w:id="0" w:name="_Toc338665231"/>
      <w:bookmarkStart w:id="1" w:name="_Toc338859027"/>
      <w:bookmarkStart w:id="2" w:name="_Toc45714420"/>
    </w:p>
    <w:tbl>
      <w:tblPr>
        <w:tblW w:w="10091" w:type="dxa"/>
        <w:tblLook w:val="04A0" w:firstRow="1" w:lastRow="0" w:firstColumn="1" w:lastColumn="0" w:noHBand="0" w:noVBand="1"/>
      </w:tblPr>
      <w:tblGrid>
        <w:gridCol w:w="1598"/>
        <w:gridCol w:w="2066"/>
        <w:gridCol w:w="2040"/>
        <w:gridCol w:w="1116"/>
        <w:gridCol w:w="3271"/>
      </w:tblGrid>
      <w:tr w:rsidR="00F46380" w:rsidRPr="00F46380" w14:paraId="18970281" w14:textId="77777777" w:rsidTr="00F46380">
        <w:trPr>
          <w:trHeight w:val="384"/>
        </w:trPr>
        <w:tc>
          <w:tcPr>
            <w:tcW w:w="1598" w:type="dxa"/>
            <w:tcBorders>
              <w:top w:val="single" w:sz="4" w:space="0" w:color="auto"/>
              <w:left w:val="single" w:sz="4" w:space="0" w:color="auto"/>
              <w:bottom w:val="single" w:sz="4" w:space="0" w:color="auto"/>
              <w:right w:val="single" w:sz="4" w:space="0" w:color="auto"/>
            </w:tcBorders>
            <w:noWrap/>
            <w:vAlign w:val="bottom"/>
            <w:hideMark/>
          </w:tcPr>
          <w:p w14:paraId="4026215E" w14:textId="77777777" w:rsidR="00F46380" w:rsidRPr="00F46380" w:rsidRDefault="00F46380">
            <w:pPr>
              <w:spacing w:line="256" w:lineRule="auto"/>
              <w:rPr>
                <w:rFonts w:cs="Calibri"/>
                <w:color w:val="000000"/>
              </w:rPr>
            </w:pPr>
            <w:r w:rsidRPr="00F46380">
              <w:rPr>
                <w:rFonts w:cs="Calibri"/>
                <w:color w:val="000000"/>
              </w:rPr>
              <w:t>Version:</w:t>
            </w:r>
          </w:p>
        </w:tc>
        <w:tc>
          <w:tcPr>
            <w:tcW w:w="8492" w:type="dxa"/>
            <w:gridSpan w:val="4"/>
            <w:tcBorders>
              <w:top w:val="single" w:sz="4" w:space="0" w:color="auto"/>
              <w:left w:val="nil"/>
              <w:bottom w:val="single" w:sz="4" w:space="0" w:color="auto"/>
              <w:right w:val="single" w:sz="4" w:space="0" w:color="auto"/>
            </w:tcBorders>
            <w:noWrap/>
            <w:vAlign w:val="center"/>
            <w:hideMark/>
          </w:tcPr>
          <w:p w14:paraId="11DAF934" w14:textId="77777777" w:rsidR="00F46380" w:rsidRPr="00F46380" w:rsidRDefault="00F46380">
            <w:pPr>
              <w:spacing w:line="256" w:lineRule="auto"/>
              <w:rPr>
                <w:rFonts w:cs="Calibri"/>
                <w:color w:val="000000"/>
              </w:rPr>
            </w:pPr>
            <w:r w:rsidRPr="00F46380">
              <w:rPr>
                <w:rFonts w:cs="Calibri"/>
                <w:color w:val="000000"/>
              </w:rPr>
              <w:t> </w:t>
            </w:r>
            <w:r w:rsidR="001E292E">
              <w:rPr>
                <w:rFonts w:cs="Calibri"/>
                <w:color w:val="000000"/>
              </w:rPr>
              <w:t>1</w:t>
            </w:r>
          </w:p>
        </w:tc>
      </w:tr>
      <w:tr w:rsidR="00F46380" w:rsidRPr="00F46380" w14:paraId="57F2B578" w14:textId="77777777" w:rsidTr="00F46380">
        <w:trPr>
          <w:trHeight w:val="406"/>
        </w:trPr>
        <w:tc>
          <w:tcPr>
            <w:tcW w:w="1598" w:type="dxa"/>
            <w:tcBorders>
              <w:top w:val="nil"/>
              <w:left w:val="single" w:sz="4" w:space="0" w:color="auto"/>
              <w:bottom w:val="single" w:sz="4" w:space="0" w:color="auto"/>
              <w:right w:val="single" w:sz="4" w:space="0" w:color="auto"/>
            </w:tcBorders>
            <w:noWrap/>
            <w:vAlign w:val="bottom"/>
            <w:hideMark/>
          </w:tcPr>
          <w:p w14:paraId="7447D4B2" w14:textId="77777777" w:rsidR="00F46380" w:rsidRPr="00F46380" w:rsidRDefault="00F46380">
            <w:pPr>
              <w:spacing w:line="256" w:lineRule="auto"/>
              <w:rPr>
                <w:rFonts w:cs="Calibri"/>
                <w:color w:val="000000"/>
              </w:rPr>
            </w:pPr>
            <w:r w:rsidRPr="00F46380">
              <w:rPr>
                <w:rFonts w:cs="Calibri"/>
                <w:color w:val="000000"/>
              </w:rPr>
              <w:t>Date Created:</w:t>
            </w:r>
          </w:p>
        </w:tc>
        <w:tc>
          <w:tcPr>
            <w:tcW w:w="8492" w:type="dxa"/>
            <w:gridSpan w:val="4"/>
            <w:tcBorders>
              <w:top w:val="single" w:sz="4" w:space="0" w:color="auto"/>
              <w:left w:val="nil"/>
              <w:bottom w:val="single" w:sz="4" w:space="0" w:color="auto"/>
              <w:right w:val="single" w:sz="4" w:space="0" w:color="auto"/>
            </w:tcBorders>
            <w:noWrap/>
            <w:vAlign w:val="center"/>
            <w:hideMark/>
          </w:tcPr>
          <w:p w14:paraId="02B79599" w14:textId="09E7460D" w:rsidR="00F46380" w:rsidRPr="00F46380" w:rsidRDefault="006A07C7">
            <w:pPr>
              <w:spacing w:line="256" w:lineRule="auto"/>
              <w:rPr>
                <w:rFonts w:cs="Calibri"/>
                <w:color w:val="000000"/>
              </w:rPr>
            </w:pPr>
            <w:r>
              <w:rPr>
                <w:rFonts w:cs="Calibri"/>
                <w:color w:val="000000"/>
              </w:rPr>
              <w:t>01</w:t>
            </w:r>
            <w:r w:rsidRPr="006A07C7">
              <w:rPr>
                <w:rFonts w:cs="Calibri"/>
                <w:color w:val="000000"/>
                <w:vertAlign w:val="superscript"/>
              </w:rPr>
              <w:t>st</w:t>
            </w:r>
            <w:r>
              <w:rPr>
                <w:rFonts w:cs="Calibri"/>
                <w:color w:val="000000"/>
              </w:rPr>
              <w:t xml:space="preserve"> February 2024</w:t>
            </w:r>
          </w:p>
        </w:tc>
      </w:tr>
      <w:tr w:rsidR="00F46380" w:rsidRPr="00F46380" w14:paraId="35419420" w14:textId="77777777" w:rsidTr="00F46380">
        <w:trPr>
          <w:trHeight w:val="427"/>
        </w:trPr>
        <w:tc>
          <w:tcPr>
            <w:tcW w:w="1598" w:type="dxa"/>
            <w:tcBorders>
              <w:top w:val="nil"/>
              <w:left w:val="single" w:sz="4" w:space="0" w:color="auto"/>
              <w:bottom w:val="single" w:sz="4" w:space="0" w:color="auto"/>
              <w:right w:val="single" w:sz="4" w:space="0" w:color="auto"/>
            </w:tcBorders>
            <w:noWrap/>
            <w:vAlign w:val="bottom"/>
            <w:hideMark/>
          </w:tcPr>
          <w:p w14:paraId="1528A0DA" w14:textId="77777777" w:rsidR="00F46380" w:rsidRPr="00F46380" w:rsidRDefault="00F46380">
            <w:pPr>
              <w:spacing w:line="256" w:lineRule="auto"/>
              <w:rPr>
                <w:rFonts w:cs="Calibri"/>
                <w:color w:val="000000"/>
              </w:rPr>
            </w:pPr>
            <w:r w:rsidRPr="00F46380">
              <w:rPr>
                <w:rFonts w:cs="Calibri"/>
                <w:color w:val="000000"/>
              </w:rPr>
              <w:t>Author:</w:t>
            </w:r>
          </w:p>
        </w:tc>
        <w:tc>
          <w:tcPr>
            <w:tcW w:w="8492" w:type="dxa"/>
            <w:gridSpan w:val="4"/>
            <w:tcBorders>
              <w:top w:val="single" w:sz="4" w:space="0" w:color="auto"/>
              <w:left w:val="nil"/>
              <w:bottom w:val="single" w:sz="4" w:space="0" w:color="auto"/>
              <w:right w:val="single" w:sz="4" w:space="0" w:color="auto"/>
            </w:tcBorders>
            <w:noWrap/>
            <w:vAlign w:val="center"/>
            <w:hideMark/>
          </w:tcPr>
          <w:p w14:paraId="52AF9706" w14:textId="77777777" w:rsidR="00F46380" w:rsidRPr="00F46380" w:rsidRDefault="00F46380">
            <w:pPr>
              <w:spacing w:line="256" w:lineRule="auto"/>
              <w:rPr>
                <w:rFonts w:cs="Calibri"/>
                <w:color w:val="000000"/>
              </w:rPr>
            </w:pPr>
            <w:r w:rsidRPr="00F46380">
              <w:rPr>
                <w:rFonts w:cs="Calibri"/>
                <w:color w:val="000000"/>
              </w:rPr>
              <w:t> </w:t>
            </w:r>
            <w:r w:rsidR="001E292E">
              <w:rPr>
                <w:rFonts w:cs="Calibri"/>
                <w:color w:val="000000"/>
              </w:rPr>
              <w:t>Timothy Van Zyl</w:t>
            </w:r>
          </w:p>
        </w:tc>
      </w:tr>
      <w:tr w:rsidR="00F46380" w:rsidRPr="00F46380" w14:paraId="7343580A" w14:textId="77777777" w:rsidTr="00F46380">
        <w:trPr>
          <w:trHeight w:val="402"/>
        </w:trPr>
        <w:tc>
          <w:tcPr>
            <w:tcW w:w="1598" w:type="dxa"/>
            <w:tcBorders>
              <w:top w:val="nil"/>
              <w:left w:val="single" w:sz="4" w:space="0" w:color="auto"/>
              <w:bottom w:val="single" w:sz="4" w:space="0" w:color="auto"/>
              <w:right w:val="single" w:sz="4" w:space="0" w:color="auto"/>
            </w:tcBorders>
            <w:noWrap/>
            <w:vAlign w:val="bottom"/>
            <w:hideMark/>
          </w:tcPr>
          <w:p w14:paraId="2FDC6C63" w14:textId="77777777" w:rsidR="00F46380" w:rsidRPr="00F46380" w:rsidRDefault="00F46380">
            <w:pPr>
              <w:spacing w:line="256" w:lineRule="auto"/>
              <w:rPr>
                <w:rFonts w:cs="Calibri"/>
                <w:color w:val="000000"/>
              </w:rPr>
            </w:pPr>
            <w:r w:rsidRPr="00F46380">
              <w:rPr>
                <w:rFonts w:cs="Calibri"/>
                <w:color w:val="000000"/>
              </w:rPr>
              <w:t>Ratified by:</w:t>
            </w:r>
          </w:p>
        </w:tc>
        <w:tc>
          <w:tcPr>
            <w:tcW w:w="8492" w:type="dxa"/>
            <w:gridSpan w:val="4"/>
            <w:tcBorders>
              <w:top w:val="single" w:sz="4" w:space="0" w:color="auto"/>
              <w:left w:val="nil"/>
              <w:bottom w:val="single" w:sz="4" w:space="0" w:color="auto"/>
              <w:right w:val="single" w:sz="4" w:space="0" w:color="auto"/>
            </w:tcBorders>
            <w:noWrap/>
            <w:vAlign w:val="center"/>
            <w:hideMark/>
          </w:tcPr>
          <w:p w14:paraId="3636E6DC" w14:textId="77777777" w:rsidR="00F46380" w:rsidRPr="00F46380" w:rsidRDefault="00F46380">
            <w:pPr>
              <w:spacing w:line="256" w:lineRule="auto"/>
              <w:rPr>
                <w:rFonts w:cs="Calibri"/>
                <w:color w:val="000000"/>
              </w:rPr>
            </w:pPr>
            <w:r w:rsidRPr="00F46380">
              <w:rPr>
                <w:rFonts w:cs="Calibri"/>
                <w:color w:val="000000"/>
              </w:rPr>
              <w:t> </w:t>
            </w:r>
          </w:p>
        </w:tc>
      </w:tr>
      <w:tr w:rsidR="00F46380" w:rsidRPr="00F46380" w14:paraId="77560D77" w14:textId="77777777" w:rsidTr="00F46380">
        <w:trPr>
          <w:trHeight w:val="436"/>
        </w:trPr>
        <w:tc>
          <w:tcPr>
            <w:tcW w:w="1598" w:type="dxa"/>
            <w:tcBorders>
              <w:top w:val="nil"/>
              <w:left w:val="single" w:sz="4" w:space="0" w:color="auto"/>
              <w:bottom w:val="single" w:sz="4" w:space="0" w:color="auto"/>
              <w:right w:val="single" w:sz="4" w:space="0" w:color="auto"/>
            </w:tcBorders>
            <w:noWrap/>
            <w:vAlign w:val="bottom"/>
            <w:hideMark/>
          </w:tcPr>
          <w:p w14:paraId="79957AD4" w14:textId="77777777" w:rsidR="00F46380" w:rsidRPr="00F46380" w:rsidRDefault="00F46380">
            <w:pPr>
              <w:spacing w:line="256" w:lineRule="auto"/>
              <w:rPr>
                <w:rFonts w:cs="Calibri"/>
                <w:color w:val="000000"/>
              </w:rPr>
            </w:pPr>
            <w:r w:rsidRPr="00F46380">
              <w:rPr>
                <w:rFonts w:cs="Calibri"/>
                <w:color w:val="000000"/>
              </w:rPr>
              <w:t>Date Ratified:</w:t>
            </w:r>
          </w:p>
        </w:tc>
        <w:tc>
          <w:tcPr>
            <w:tcW w:w="8492" w:type="dxa"/>
            <w:gridSpan w:val="4"/>
            <w:tcBorders>
              <w:top w:val="single" w:sz="4" w:space="0" w:color="auto"/>
              <w:left w:val="nil"/>
              <w:bottom w:val="single" w:sz="4" w:space="0" w:color="auto"/>
              <w:right w:val="single" w:sz="4" w:space="0" w:color="auto"/>
            </w:tcBorders>
            <w:noWrap/>
            <w:vAlign w:val="center"/>
            <w:hideMark/>
          </w:tcPr>
          <w:p w14:paraId="76961950" w14:textId="77777777" w:rsidR="00F46380" w:rsidRPr="00F46380" w:rsidRDefault="00F46380">
            <w:pPr>
              <w:spacing w:line="256" w:lineRule="auto"/>
              <w:rPr>
                <w:rFonts w:cs="Calibri"/>
                <w:color w:val="000000"/>
              </w:rPr>
            </w:pPr>
            <w:r w:rsidRPr="00F46380">
              <w:rPr>
                <w:rFonts w:cs="Calibri"/>
                <w:color w:val="000000"/>
              </w:rPr>
              <w:t> </w:t>
            </w:r>
          </w:p>
        </w:tc>
      </w:tr>
      <w:tr w:rsidR="00F46380" w:rsidRPr="00F46380" w14:paraId="4261F3B6" w14:textId="77777777" w:rsidTr="00F46380">
        <w:trPr>
          <w:trHeight w:val="400"/>
        </w:trPr>
        <w:tc>
          <w:tcPr>
            <w:tcW w:w="1598" w:type="dxa"/>
            <w:tcBorders>
              <w:top w:val="nil"/>
              <w:left w:val="single" w:sz="4" w:space="0" w:color="auto"/>
              <w:bottom w:val="single" w:sz="4" w:space="0" w:color="auto"/>
              <w:right w:val="single" w:sz="4" w:space="0" w:color="auto"/>
            </w:tcBorders>
            <w:noWrap/>
            <w:vAlign w:val="bottom"/>
            <w:hideMark/>
          </w:tcPr>
          <w:p w14:paraId="3B4F94BA" w14:textId="77777777" w:rsidR="00F46380" w:rsidRPr="00F46380" w:rsidRDefault="00F46380">
            <w:pPr>
              <w:spacing w:line="256" w:lineRule="auto"/>
              <w:rPr>
                <w:rFonts w:cs="Calibri"/>
                <w:color w:val="000000"/>
              </w:rPr>
            </w:pPr>
            <w:r w:rsidRPr="00F46380">
              <w:rPr>
                <w:rFonts w:cs="Calibri"/>
                <w:color w:val="000000"/>
              </w:rPr>
              <w:t>Review Date:</w:t>
            </w:r>
          </w:p>
        </w:tc>
        <w:tc>
          <w:tcPr>
            <w:tcW w:w="8492" w:type="dxa"/>
            <w:gridSpan w:val="4"/>
            <w:tcBorders>
              <w:top w:val="single" w:sz="4" w:space="0" w:color="auto"/>
              <w:left w:val="nil"/>
              <w:bottom w:val="single" w:sz="4" w:space="0" w:color="auto"/>
              <w:right w:val="single" w:sz="4" w:space="0" w:color="auto"/>
            </w:tcBorders>
            <w:noWrap/>
            <w:vAlign w:val="center"/>
            <w:hideMark/>
          </w:tcPr>
          <w:p w14:paraId="77097F34" w14:textId="77777777" w:rsidR="00F46380" w:rsidRPr="00F46380" w:rsidRDefault="00F46380">
            <w:pPr>
              <w:spacing w:line="256" w:lineRule="auto"/>
              <w:rPr>
                <w:rFonts w:cs="Calibri"/>
                <w:color w:val="000000"/>
              </w:rPr>
            </w:pPr>
            <w:r w:rsidRPr="00F46380">
              <w:rPr>
                <w:rFonts w:cs="Calibri"/>
                <w:color w:val="000000"/>
              </w:rPr>
              <w:t> </w:t>
            </w:r>
          </w:p>
        </w:tc>
      </w:tr>
      <w:tr w:rsidR="00F46380" w:rsidRPr="00F46380" w14:paraId="2B2F99FD" w14:textId="77777777" w:rsidTr="00F46380">
        <w:trPr>
          <w:trHeight w:val="746"/>
        </w:trPr>
        <w:tc>
          <w:tcPr>
            <w:tcW w:w="1598" w:type="dxa"/>
            <w:noWrap/>
            <w:vAlign w:val="bottom"/>
            <w:hideMark/>
          </w:tcPr>
          <w:p w14:paraId="42CF76D7" w14:textId="77777777" w:rsidR="00F46380" w:rsidRPr="00F46380" w:rsidRDefault="00F46380">
            <w:pPr>
              <w:rPr>
                <w:rFonts w:cs="Calibri"/>
                <w:color w:val="000000"/>
              </w:rPr>
            </w:pPr>
          </w:p>
        </w:tc>
        <w:tc>
          <w:tcPr>
            <w:tcW w:w="2066" w:type="dxa"/>
            <w:noWrap/>
            <w:vAlign w:val="bottom"/>
            <w:hideMark/>
          </w:tcPr>
          <w:p w14:paraId="2C0EFB43" w14:textId="77777777" w:rsidR="00F46380" w:rsidRPr="00F46380" w:rsidRDefault="00F46380">
            <w:pPr>
              <w:spacing w:line="256" w:lineRule="auto"/>
              <w:rPr>
                <w:rFonts w:eastAsia="Calibri"/>
                <w:sz w:val="20"/>
                <w:szCs w:val="20"/>
              </w:rPr>
            </w:pPr>
          </w:p>
        </w:tc>
        <w:tc>
          <w:tcPr>
            <w:tcW w:w="2040" w:type="dxa"/>
            <w:noWrap/>
            <w:vAlign w:val="bottom"/>
            <w:hideMark/>
          </w:tcPr>
          <w:p w14:paraId="55C9F50F" w14:textId="77777777" w:rsidR="00F46380" w:rsidRPr="00F46380" w:rsidRDefault="00F46380">
            <w:pPr>
              <w:spacing w:line="256" w:lineRule="auto"/>
              <w:rPr>
                <w:rFonts w:eastAsia="Calibri"/>
                <w:sz w:val="20"/>
                <w:szCs w:val="20"/>
              </w:rPr>
            </w:pPr>
          </w:p>
        </w:tc>
        <w:tc>
          <w:tcPr>
            <w:tcW w:w="1116" w:type="dxa"/>
            <w:noWrap/>
            <w:vAlign w:val="bottom"/>
            <w:hideMark/>
          </w:tcPr>
          <w:p w14:paraId="3FCB115F" w14:textId="77777777" w:rsidR="00F46380" w:rsidRPr="00F46380" w:rsidRDefault="00F46380">
            <w:pPr>
              <w:spacing w:line="256" w:lineRule="auto"/>
              <w:rPr>
                <w:rFonts w:eastAsia="Calibri"/>
                <w:sz w:val="20"/>
                <w:szCs w:val="20"/>
              </w:rPr>
            </w:pPr>
          </w:p>
        </w:tc>
        <w:tc>
          <w:tcPr>
            <w:tcW w:w="3268" w:type="dxa"/>
            <w:noWrap/>
            <w:vAlign w:val="bottom"/>
            <w:hideMark/>
          </w:tcPr>
          <w:p w14:paraId="6C6649F1" w14:textId="77777777" w:rsidR="00F46380" w:rsidRPr="00F46380" w:rsidRDefault="00F46380">
            <w:pPr>
              <w:spacing w:line="256" w:lineRule="auto"/>
              <w:rPr>
                <w:rFonts w:eastAsia="Calibri"/>
                <w:sz w:val="20"/>
                <w:szCs w:val="20"/>
              </w:rPr>
            </w:pPr>
          </w:p>
        </w:tc>
      </w:tr>
      <w:tr w:rsidR="00F46380" w:rsidRPr="00F46380" w14:paraId="363A2DF2" w14:textId="77777777" w:rsidTr="00F46380">
        <w:trPr>
          <w:trHeight w:val="746"/>
        </w:trPr>
        <w:tc>
          <w:tcPr>
            <w:tcW w:w="10091" w:type="dxa"/>
            <w:gridSpan w:val="5"/>
            <w:noWrap/>
            <w:vAlign w:val="bottom"/>
            <w:hideMark/>
          </w:tcPr>
          <w:p w14:paraId="5C334711" w14:textId="77777777" w:rsidR="00F46380" w:rsidRPr="00F46380" w:rsidRDefault="00F46380">
            <w:pPr>
              <w:spacing w:line="256" w:lineRule="auto"/>
              <w:rPr>
                <w:rFonts w:cs="Calibri"/>
                <w:color w:val="000000"/>
              </w:rPr>
            </w:pPr>
            <w:r w:rsidRPr="00F46380">
              <w:rPr>
                <w:rFonts w:cs="Calibri"/>
                <w:color w:val="000000"/>
              </w:rPr>
              <w:t>Revision History:</w:t>
            </w:r>
          </w:p>
        </w:tc>
      </w:tr>
      <w:tr w:rsidR="00F46380" w:rsidRPr="00F46380" w14:paraId="30164B4E" w14:textId="77777777" w:rsidTr="00F46380">
        <w:trPr>
          <w:trHeight w:val="746"/>
        </w:trPr>
        <w:tc>
          <w:tcPr>
            <w:tcW w:w="1598" w:type="dxa"/>
            <w:noWrap/>
            <w:vAlign w:val="bottom"/>
            <w:hideMark/>
          </w:tcPr>
          <w:p w14:paraId="71015D6D" w14:textId="77777777" w:rsidR="00F46380" w:rsidRPr="00F46380" w:rsidRDefault="00F46380">
            <w:pPr>
              <w:rPr>
                <w:rFonts w:cs="Calibri"/>
                <w:color w:val="000000"/>
              </w:rPr>
            </w:pPr>
          </w:p>
        </w:tc>
        <w:tc>
          <w:tcPr>
            <w:tcW w:w="2066" w:type="dxa"/>
            <w:noWrap/>
            <w:vAlign w:val="bottom"/>
            <w:hideMark/>
          </w:tcPr>
          <w:p w14:paraId="5C6A077F" w14:textId="77777777" w:rsidR="00F46380" w:rsidRPr="00F46380" w:rsidRDefault="00F46380">
            <w:pPr>
              <w:spacing w:line="256" w:lineRule="auto"/>
              <w:rPr>
                <w:rFonts w:eastAsia="Calibri"/>
                <w:sz w:val="20"/>
                <w:szCs w:val="20"/>
              </w:rPr>
            </w:pPr>
          </w:p>
        </w:tc>
        <w:tc>
          <w:tcPr>
            <w:tcW w:w="2040" w:type="dxa"/>
            <w:noWrap/>
            <w:vAlign w:val="bottom"/>
            <w:hideMark/>
          </w:tcPr>
          <w:p w14:paraId="6AAE785D" w14:textId="77777777" w:rsidR="00F46380" w:rsidRPr="00F46380" w:rsidRDefault="00F46380">
            <w:pPr>
              <w:spacing w:line="256" w:lineRule="auto"/>
              <w:rPr>
                <w:rFonts w:eastAsia="Calibri"/>
                <w:sz w:val="20"/>
                <w:szCs w:val="20"/>
              </w:rPr>
            </w:pPr>
          </w:p>
        </w:tc>
        <w:tc>
          <w:tcPr>
            <w:tcW w:w="1116" w:type="dxa"/>
            <w:noWrap/>
            <w:vAlign w:val="bottom"/>
            <w:hideMark/>
          </w:tcPr>
          <w:p w14:paraId="424C70D6" w14:textId="77777777" w:rsidR="00F46380" w:rsidRPr="00F46380" w:rsidRDefault="00F46380">
            <w:pPr>
              <w:spacing w:line="256" w:lineRule="auto"/>
              <w:rPr>
                <w:rFonts w:eastAsia="Calibri"/>
                <w:sz w:val="20"/>
                <w:szCs w:val="20"/>
              </w:rPr>
            </w:pPr>
          </w:p>
        </w:tc>
        <w:tc>
          <w:tcPr>
            <w:tcW w:w="3268" w:type="dxa"/>
            <w:noWrap/>
            <w:vAlign w:val="bottom"/>
            <w:hideMark/>
          </w:tcPr>
          <w:p w14:paraId="09918E8C" w14:textId="77777777" w:rsidR="00F46380" w:rsidRPr="00F46380" w:rsidRDefault="00F46380">
            <w:pPr>
              <w:spacing w:line="256" w:lineRule="auto"/>
              <w:rPr>
                <w:rFonts w:eastAsia="Calibri"/>
                <w:sz w:val="20"/>
                <w:szCs w:val="20"/>
              </w:rPr>
            </w:pPr>
          </w:p>
        </w:tc>
      </w:tr>
      <w:tr w:rsidR="00F46380" w:rsidRPr="00F46380" w14:paraId="34BD6302" w14:textId="77777777" w:rsidTr="00F46380">
        <w:trPr>
          <w:trHeight w:val="746"/>
        </w:trPr>
        <w:tc>
          <w:tcPr>
            <w:tcW w:w="1598" w:type="dxa"/>
            <w:tcBorders>
              <w:top w:val="single" w:sz="4" w:space="0" w:color="auto"/>
              <w:left w:val="single" w:sz="4" w:space="0" w:color="auto"/>
              <w:bottom w:val="single" w:sz="4" w:space="0" w:color="auto"/>
              <w:right w:val="single" w:sz="4" w:space="0" w:color="auto"/>
            </w:tcBorders>
            <w:noWrap/>
            <w:hideMark/>
          </w:tcPr>
          <w:p w14:paraId="6253BCE3" w14:textId="77777777" w:rsidR="00F46380" w:rsidRPr="00F46380" w:rsidRDefault="00F46380">
            <w:pPr>
              <w:spacing w:line="256" w:lineRule="auto"/>
              <w:rPr>
                <w:rFonts w:cs="Calibri"/>
                <w:color w:val="000000"/>
              </w:rPr>
            </w:pPr>
            <w:r w:rsidRPr="00F46380">
              <w:rPr>
                <w:rFonts w:cs="Calibri"/>
                <w:color w:val="000000"/>
              </w:rPr>
              <w:t>Version</w:t>
            </w:r>
          </w:p>
        </w:tc>
        <w:tc>
          <w:tcPr>
            <w:tcW w:w="2066" w:type="dxa"/>
            <w:tcBorders>
              <w:top w:val="single" w:sz="4" w:space="0" w:color="auto"/>
              <w:left w:val="nil"/>
              <w:bottom w:val="single" w:sz="4" w:space="0" w:color="auto"/>
              <w:right w:val="single" w:sz="4" w:space="0" w:color="auto"/>
            </w:tcBorders>
            <w:noWrap/>
            <w:hideMark/>
          </w:tcPr>
          <w:p w14:paraId="41822A3B" w14:textId="77777777" w:rsidR="00F46380" w:rsidRPr="00F46380" w:rsidRDefault="00F46380">
            <w:pPr>
              <w:spacing w:line="256" w:lineRule="auto"/>
              <w:rPr>
                <w:rFonts w:cs="Calibri"/>
                <w:color w:val="000000"/>
              </w:rPr>
            </w:pPr>
            <w:r w:rsidRPr="00F46380">
              <w:rPr>
                <w:rFonts w:cs="Calibri"/>
                <w:color w:val="000000"/>
              </w:rPr>
              <w:t>Date Created</w:t>
            </w:r>
          </w:p>
        </w:tc>
        <w:tc>
          <w:tcPr>
            <w:tcW w:w="2040" w:type="dxa"/>
            <w:tcBorders>
              <w:top w:val="single" w:sz="4" w:space="0" w:color="auto"/>
              <w:left w:val="nil"/>
              <w:bottom w:val="single" w:sz="4" w:space="0" w:color="auto"/>
              <w:right w:val="single" w:sz="4" w:space="0" w:color="auto"/>
            </w:tcBorders>
            <w:noWrap/>
            <w:hideMark/>
          </w:tcPr>
          <w:p w14:paraId="399AE423" w14:textId="77777777" w:rsidR="00F46380" w:rsidRPr="00F46380" w:rsidRDefault="00F46380">
            <w:pPr>
              <w:spacing w:line="256" w:lineRule="auto"/>
              <w:rPr>
                <w:rFonts w:cs="Calibri"/>
                <w:color w:val="000000"/>
              </w:rPr>
            </w:pPr>
            <w:r w:rsidRPr="00F46380">
              <w:rPr>
                <w:rFonts w:cs="Calibri"/>
                <w:color w:val="000000"/>
              </w:rPr>
              <w:t>Date Ratified</w:t>
            </w:r>
          </w:p>
        </w:tc>
        <w:tc>
          <w:tcPr>
            <w:tcW w:w="1116" w:type="dxa"/>
            <w:tcBorders>
              <w:top w:val="single" w:sz="4" w:space="0" w:color="auto"/>
              <w:left w:val="nil"/>
              <w:bottom w:val="single" w:sz="4" w:space="0" w:color="auto"/>
              <w:right w:val="single" w:sz="4" w:space="0" w:color="auto"/>
            </w:tcBorders>
            <w:noWrap/>
            <w:hideMark/>
          </w:tcPr>
          <w:p w14:paraId="062EF03B" w14:textId="77777777" w:rsidR="00F46380" w:rsidRPr="00F46380" w:rsidRDefault="00F46380">
            <w:pPr>
              <w:spacing w:line="256" w:lineRule="auto"/>
              <w:rPr>
                <w:rFonts w:cs="Calibri"/>
                <w:color w:val="000000"/>
              </w:rPr>
            </w:pPr>
            <w:r w:rsidRPr="00F46380">
              <w:rPr>
                <w:rFonts w:cs="Calibri"/>
                <w:color w:val="000000"/>
              </w:rPr>
              <w:t>Author</w:t>
            </w:r>
          </w:p>
        </w:tc>
        <w:tc>
          <w:tcPr>
            <w:tcW w:w="3268" w:type="dxa"/>
            <w:tcBorders>
              <w:top w:val="single" w:sz="4" w:space="0" w:color="auto"/>
              <w:left w:val="nil"/>
              <w:bottom w:val="single" w:sz="4" w:space="0" w:color="auto"/>
              <w:right w:val="single" w:sz="4" w:space="0" w:color="auto"/>
            </w:tcBorders>
            <w:noWrap/>
            <w:hideMark/>
          </w:tcPr>
          <w:p w14:paraId="51C2AEEC" w14:textId="77777777" w:rsidR="00F46380" w:rsidRPr="00F46380" w:rsidRDefault="00F46380">
            <w:pPr>
              <w:spacing w:line="256" w:lineRule="auto"/>
              <w:rPr>
                <w:rFonts w:cs="Calibri"/>
                <w:color w:val="000000"/>
              </w:rPr>
            </w:pPr>
            <w:r w:rsidRPr="00F46380">
              <w:rPr>
                <w:rFonts w:cs="Calibri"/>
                <w:color w:val="000000"/>
              </w:rPr>
              <w:t>Summary of Changes</w:t>
            </w:r>
          </w:p>
        </w:tc>
      </w:tr>
      <w:tr w:rsidR="00F46380" w:rsidRPr="00F46380" w14:paraId="7091BFB6" w14:textId="77777777" w:rsidTr="00F46380">
        <w:trPr>
          <w:trHeight w:val="746"/>
        </w:trPr>
        <w:tc>
          <w:tcPr>
            <w:tcW w:w="1598" w:type="dxa"/>
            <w:tcBorders>
              <w:top w:val="nil"/>
              <w:left w:val="single" w:sz="4" w:space="0" w:color="auto"/>
              <w:bottom w:val="single" w:sz="4" w:space="0" w:color="auto"/>
              <w:right w:val="single" w:sz="4" w:space="0" w:color="auto"/>
            </w:tcBorders>
            <w:noWrap/>
            <w:vAlign w:val="center"/>
            <w:hideMark/>
          </w:tcPr>
          <w:p w14:paraId="608C244F" w14:textId="77777777" w:rsidR="00F46380" w:rsidRPr="00F46380" w:rsidRDefault="00F46380">
            <w:pPr>
              <w:spacing w:line="256" w:lineRule="auto"/>
              <w:jc w:val="center"/>
              <w:rPr>
                <w:rFonts w:cs="Calibri"/>
                <w:color w:val="000000"/>
              </w:rPr>
            </w:pPr>
            <w:r w:rsidRPr="00F46380">
              <w:rPr>
                <w:rFonts w:cs="Calibri"/>
                <w:color w:val="000000"/>
              </w:rPr>
              <w:t>1.0</w:t>
            </w:r>
          </w:p>
        </w:tc>
        <w:tc>
          <w:tcPr>
            <w:tcW w:w="2066" w:type="dxa"/>
            <w:tcBorders>
              <w:top w:val="nil"/>
              <w:left w:val="nil"/>
              <w:bottom w:val="single" w:sz="4" w:space="0" w:color="auto"/>
              <w:right w:val="single" w:sz="4" w:space="0" w:color="auto"/>
            </w:tcBorders>
            <w:noWrap/>
            <w:vAlign w:val="center"/>
            <w:hideMark/>
          </w:tcPr>
          <w:p w14:paraId="7B59C9B4" w14:textId="77777777" w:rsidR="00F46380" w:rsidRPr="00F46380" w:rsidRDefault="00F46380">
            <w:pPr>
              <w:spacing w:line="256" w:lineRule="auto"/>
              <w:rPr>
                <w:rFonts w:cs="Calibri"/>
                <w:color w:val="000000"/>
              </w:rPr>
            </w:pPr>
            <w:r w:rsidRPr="00F46380">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3E9C0AE2" w14:textId="77777777" w:rsidR="00F46380" w:rsidRPr="00F46380" w:rsidRDefault="00F46380">
            <w:pPr>
              <w:spacing w:line="256" w:lineRule="auto"/>
              <w:rPr>
                <w:rFonts w:cs="Calibri"/>
                <w:color w:val="000000"/>
              </w:rPr>
            </w:pPr>
            <w:r w:rsidRPr="00F46380">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035A49C3" w14:textId="77777777" w:rsidR="00F46380" w:rsidRPr="00F46380" w:rsidRDefault="00F46380">
            <w:pPr>
              <w:spacing w:line="256" w:lineRule="auto"/>
              <w:rPr>
                <w:rFonts w:cs="Calibri"/>
                <w:color w:val="000000"/>
              </w:rPr>
            </w:pPr>
            <w:r w:rsidRPr="00F46380">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39CC6028" w14:textId="77777777" w:rsidR="00F46380" w:rsidRPr="00F46380" w:rsidRDefault="00F46380">
            <w:pPr>
              <w:spacing w:line="256" w:lineRule="auto"/>
              <w:rPr>
                <w:rFonts w:cs="Calibri"/>
                <w:color w:val="000000"/>
              </w:rPr>
            </w:pPr>
            <w:r w:rsidRPr="00F46380">
              <w:rPr>
                <w:rFonts w:cs="Calibri"/>
                <w:color w:val="000000"/>
              </w:rPr>
              <w:t> </w:t>
            </w:r>
          </w:p>
        </w:tc>
      </w:tr>
      <w:tr w:rsidR="00F46380" w:rsidRPr="00F46380" w14:paraId="07B49C72" w14:textId="77777777" w:rsidTr="00F46380">
        <w:trPr>
          <w:trHeight w:val="746"/>
        </w:trPr>
        <w:tc>
          <w:tcPr>
            <w:tcW w:w="1598" w:type="dxa"/>
            <w:tcBorders>
              <w:top w:val="nil"/>
              <w:left w:val="single" w:sz="4" w:space="0" w:color="auto"/>
              <w:bottom w:val="single" w:sz="4" w:space="0" w:color="auto"/>
              <w:right w:val="single" w:sz="4" w:space="0" w:color="auto"/>
            </w:tcBorders>
            <w:noWrap/>
            <w:vAlign w:val="center"/>
            <w:hideMark/>
          </w:tcPr>
          <w:p w14:paraId="22749983" w14:textId="77777777" w:rsidR="00F46380" w:rsidRPr="00F46380" w:rsidRDefault="00F46380">
            <w:pPr>
              <w:spacing w:line="256" w:lineRule="auto"/>
              <w:jc w:val="center"/>
              <w:rPr>
                <w:rFonts w:cs="Calibri"/>
                <w:color w:val="000000"/>
              </w:rPr>
            </w:pPr>
            <w:r w:rsidRPr="00F46380">
              <w:rPr>
                <w:rFonts w:cs="Calibri"/>
                <w:color w:val="000000"/>
              </w:rPr>
              <w:t>2.0</w:t>
            </w:r>
          </w:p>
        </w:tc>
        <w:tc>
          <w:tcPr>
            <w:tcW w:w="2066" w:type="dxa"/>
            <w:tcBorders>
              <w:top w:val="nil"/>
              <w:left w:val="nil"/>
              <w:bottom w:val="single" w:sz="4" w:space="0" w:color="auto"/>
              <w:right w:val="single" w:sz="4" w:space="0" w:color="auto"/>
            </w:tcBorders>
            <w:noWrap/>
            <w:vAlign w:val="center"/>
            <w:hideMark/>
          </w:tcPr>
          <w:p w14:paraId="6E31FBBF" w14:textId="77777777" w:rsidR="00F46380" w:rsidRPr="00F46380" w:rsidRDefault="00F46380">
            <w:pPr>
              <w:spacing w:line="256" w:lineRule="auto"/>
              <w:rPr>
                <w:rFonts w:cs="Calibri"/>
                <w:color w:val="000000"/>
              </w:rPr>
            </w:pPr>
            <w:r w:rsidRPr="00F46380">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0E93C154" w14:textId="77777777" w:rsidR="00F46380" w:rsidRPr="00F46380" w:rsidRDefault="00F46380">
            <w:pPr>
              <w:spacing w:line="256" w:lineRule="auto"/>
              <w:rPr>
                <w:rFonts w:cs="Calibri"/>
                <w:color w:val="000000"/>
              </w:rPr>
            </w:pPr>
            <w:r w:rsidRPr="00F46380">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556C7F91" w14:textId="77777777" w:rsidR="00F46380" w:rsidRPr="00F46380" w:rsidRDefault="00F46380">
            <w:pPr>
              <w:spacing w:line="256" w:lineRule="auto"/>
              <w:rPr>
                <w:rFonts w:cs="Calibri"/>
                <w:color w:val="000000"/>
              </w:rPr>
            </w:pPr>
            <w:r w:rsidRPr="00F46380">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3E66C587" w14:textId="77777777" w:rsidR="00F46380" w:rsidRPr="00F46380" w:rsidRDefault="00F46380">
            <w:pPr>
              <w:spacing w:line="256" w:lineRule="auto"/>
              <w:rPr>
                <w:rFonts w:cs="Calibri"/>
                <w:color w:val="000000"/>
              </w:rPr>
            </w:pPr>
            <w:r w:rsidRPr="00F46380">
              <w:rPr>
                <w:rFonts w:cs="Calibri"/>
                <w:color w:val="000000"/>
              </w:rPr>
              <w:t> </w:t>
            </w:r>
          </w:p>
        </w:tc>
      </w:tr>
      <w:tr w:rsidR="00F46380" w:rsidRPr="00F46380" w14:paraId="657247DA" w14:textId="77777777" w:rsidTr="00F46380">
        <w:trPr>
          <w:trHeight w:val="746"/>
        </w:trPr>
        <w:tc>
          <w:tcPr>
            <w:tcW w:w="1598" w:type="dxa"/>
            <w:tcBorders>
              <w:top w:val="nil"/>
              <w:left w:val="single" w:sz="4" w:space="0" w:color="auto"/>
              <w:bottom w:val="single" w:sz="4" w:space="0" w:color="auto"/>
              <w:right w:val="single" w:sz="4" w:space="0" w:color="auto"/>
            </w:tcBorders>
            <w:noWrap/>
            <w:vAlign w:val="center"/>
            <w:hideMark/>
          </w:tcPr>
          <w:p w14:paraId="36E27112" w14:textId="77777777" w:rsidR="00F46380" w:rsidRPr="00F46380" w:rsidRDefault="00F46380">
            <w:pPr>
              <w:spacing w:line="256" w:lineRule="auto"/>
              <w:jc w:val="center"/>
              <w:rPr>
                <w:rFonts w:cs="Calibri"/>
                <w:color w:val="000000"/>
              </w:rPr>
            </w:pPr>
            <w:r w:rsidRPr="00F46380">
              <w:rPr>
                <w:rFonts w:cs="Calibri"/>
                <w:color w:val="000000"/>
              </w:rPr>
              <w:t>3.0</w:t>
            </w:r>
          </w:p>
        </w:tc>
        <w:tc>
          <w:tcPr>
            <w:tcW w:w="2066" w:type="dxa"/>
            <w:tcBorders>
              <w:top w:val="nil"/>
              <w:left w:val="nil"/>
              <w:bottom w:val="single" w:sz="4" w:space="0" w:color="auto"/>
              <w:right w:val="single" w:sz="4" w:space="0" w:color="auto"/>
            </w:tcBorders>
            <w:noWrap/>
            <w:vAlign w:val="center"/>
            <w:hideMark/>
          </w:tcPr>
          <w:p w14:paraId="28188719" w14:textId="77777777" w:rsidR="00F46380" w:rsidRPr="00F46380" w:rsidRDefault="00F46380">
            <w:pPr>
              <w:spacing w:line="256" w:lineRule="auto"/>
              <w:rPr>
                <w:rFonts w:cs="Calibri"/>
                <w:color w:val="000000"/>
              </w:rPr>
            </w:pPr>
            <w:r w:rsidRPr="00F46380">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50038F77" w14:textId="77777777" w:rsidR="00F46380" w:rsidRPr="00F46380" w:rsidRDefault="00F46380">
            <w:pPr>
              <w:spacing w:line="256" w:lineRule="auto"/>
              <w:rPr>
                <w:rFonts w:cs="Calibri"/>
                <w:color w:val="000000"/>
              </w:rPr>
            </w:pPr>
            <w:r w:rsidRPr="00F46380">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33A3A9B7" w14:textId="77777777" w:rsidR="00F46380" w:rsidRPr="00F46380" w:rsidRDefault="00F46380">
            <w:pPr>
              <w:spacing w:line="256" w:lineRule="auto"/>
              <w:rPr>
                <w:rFonts w:cs="Calibri"/>
                <w:color w:val="000000"/>
              </w:rPr>
            </w:pPr>
            <w:r w:rsidRPr="00F46380">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28B29105" w14:textId="77777777" w:rsidR="00F46380" w:rsidRPr="00F46380" w:rsidRDefault="00F46380">
            <w:pPr>
              <w:spacing w:line="256" w:lineRule="auto"/>
              <w:rPr>
                <w:rFonts w:cs="Calibri"/>
                <w:color w:val="000000"/>
              </w:rPr>
            </w:pPr>
            <w:r w:rsidRPr="00F46380">
              <w:rPr>
                <w:rFonts w:cs="Calibri"/>
                <w:color w:val="000000"/>
              </w:rPr>
              <w:t> </w:t>
            </w:r>
          </w:p>
        </w:tc>
      </w:tr>
      <w:tr w:rsidR="00F46380" w:rsidRPr="00F46380" w14:paraId="3744C154" w14:textId="77777777" w:rsidTr="00F46380">
        <w:trPr>
          <w:trHeight w:val="746"/>
        </w:trPr>
        <w:tc>
          <w:tcPr>
            <w:tcW w:w="1598" w:type="dxa"/>
            <w:tcBorders>
              <w:top w:val="nil"/>
              <w:left w:val="single" w:sz="4" w:space="0" w:color="auto"/>
              <w:bottom w:val="single" w:sz="4" w:space="0" w:color="auto"/>
              <w:right w:val="single" w:sz="4" w:space="0" w:color="auto"/>
            </w:tcBorders>
            <w:noWrap/>
            <w:vAlign w:val="center"/>
            <w:hideMark/>
          </w:tcPr>
          <w:p w14:paraId="6C3B6AA2" w14:textId="77777777" w:rsidR="00F46380" w:rsidRPr="00F46380" w:rsidRDefault="00F46380">
            <w:pPr>
              <w:spacing w:line="256" w:lineRule="auto"/>
              <w:jc w:val="center"/>
              <w:rPr>
                <w:rFonts w:cs="Calibri"/>
                <w:color w:val="000000"/>
              </w:rPr>
            </w:pPr>
            <w:r w:rsidRPr="00F46380">
              <w:rPr>
                <w:rFonts w:cs="Calibri"/>
                <w:color w:val="000000"/>
              </w:rPr>
              <w:t>4.0</w:t>
            </w:r>
          </w:p>
        </w:tc>
        <w:tc>
          <w:tcPr>
            <w:tcW w:w="2066" w:type="dxa"/>
            <w:tcBorders>
              <w:top w:val="nil"/>
              <w:left w:val="nil"/>
              <w:bottom w:val="single" w:sz="4" w:space="0" w:color="auto"/>
              <w:right w:val="single" w:sz="4" w:space="0" w:color="auto"/>
            </w:tcBorders>
            <w:noWrap/>
            <w:vAlign w:val="center"/>
            <w:hideMark/>
          </w:tcPr>
          <w:p w14:paraId="3E76AD08" w14:textId="77777777" w:rsidR="00F46380" w:rsidRPr="00F46380" w:rsidRDefault="00F46380">
            <w:pPr>
              <w:spacing w:line="256" w:lineRule="auto"/>
              <w:rPr>
                <w:rFonts w:cs="Calibri"/>
                <w:color w:val="000000"/>
              </w:rPr>
            </w:pPr>
            <w:r w:rsidRPr="00F46380">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69D8E033" w14:textId="77777777" w:rsidR="00F46380" w:rsidRPr="00F46380" w:rsidRDefault="00F46380">
            <w:pPr>
              <w:spacing w:line="256" w:lineRule="auto"/>
              <w:rPr>
                <w:rFonts w:cs="Calibri"/>
                <w:color w:val="000000"/>
              </w:rPr>
            </w:pPr>
            <w:r w:rsidRPr="00F46380">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401DEBA1" w14:textId="77777777" w:rsidR="00F46380" w:rsidRPr="00F46380" w:rsidRDefault="00F46380">
            <w:pPr>
              <w:spacing w:line="256" w:lineRule="auto"/>
              <w:rPr>
                <w:rFonts w:cs="Calibri"/>
                <w:color w:val="000000"/>
              </w:rPr>
            </w:pPr>
            <w:r w:rsidRPr="00F46380">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56E556EE" w14:textId="77777777" w:rsidR="00F46380" w:rsidRPr="00F46380" w:rsidRDefault="00F46380">
            <w:pPr>
              <w:spacing w:line="256" w:lineRule="auto"/>
              <w:rPr>
                <w:rFonts w:cs="Calibri"/>
                <w:color w:val="000000"/>
              </w:rPr>
            </w:pPr>
            <w:r w:rsidRPr="00F46380">
              <w:rPr>
                <w:rFonts w:cs="Calibri"/>
                <w:color w:val="000000"/>
              </w:rPr>
              <w:t> </w:t>
            </w:r>
          </w:p>
        </w:tc>
      </w:tr>
      <w:tr w:rsidR="00F46380" w:rsidRPr="00F46380" w14:paraId="7D5BCFC1" w14:textId="77777777" w:rsidTr="00F46380">
        <w:trPr>
          <w:trHeight w:val="746"/>
        </w:trPr>
        <w:tc>
          <w:tcPr>
            <w:tcW w:w="1598" w:type="dxa"/>
            <w:tcBorders>
              <w:top w:val="nil"/>
              <w:left w:val="single" w:sz="4" w:space="0" w:color="auto"/>
              <w:bottom w:val="single" w:sz="4" w:space="0" w:color="auto"/>
              <w:right w:val="single" w:sz="4" w:space="0" w:color="auto"/>
            </w:tcBorders>
            <w:noWrap/>
            <w:vAlign w:val="center"/>
            <w:hideMark/>
          </w:tcPr>
          <w:p w14:paraId="63B97753" w14:textId="77777777" w:rsidR="00F46380" w:rsidRPr="00F46380" w:rsidRDefault="00F46380">
            <w:pPr>
              <w:spacing w:line="256" w:lineRule="auto"/>
              <w:jc w:val="center"/>
              <w:rPr>
                <w:rFonts w:cs="Calibri"/>
                <w:color w:val="000000"/>
              </w:rPr>
            </w:pPr>
            <w:r w:rsidRPr="00F46380">
              <w:rPr>
                <w:rFonts w:cs="Calibri"/>
                <w:color w:val="000000"/>
              </w:rPr>
              <w:t>5.0</w:t>
            </w:r>
          </w:p>
        </w:tc>
        <w:tc>
          <w:tcPr>
            <w:tcW w:w="2066" w:type="dxa"/>
            <w:tcBorders>
              <w:top w:val="nil"/>
              <w:left w:val="nil"/>
              <w:bottom w:val="single" w:sz="4" w:space="0" w:color="auto"/>
              <w:right w:val="single" w:sz="4" w:space="0" w:color="auto"/>
            </w:tcBorders>
            <w:noWrap/>
            <w:vAlign w:val="center"/>
            <w:hideMark/>
          </w:tcPr>
          <w:p w14:paraId="5D2393C0" w14:textId="77777777" w:rsidR="00F46380" w:rsidRPr="00F46380" w:rsidRDefault="00F46380">
            <w:pPr>
              <w:spacing w:line="256" w:lineRule="auto"/>
              <w:rPr>
                <w:rFonts w:cs="Calibri"/>
                <w:color w:val="000000"/>
              </w:rPr>
            </w:pPr>
            <w:r w:rsidRPr="00F46380">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38E81C78" w14:textId="77777777" w:rsidR="00F46380" w:rsidRPr="00F46380" w:rsidRDefault="00F46380">
            <w:pPr>
              <w:spacing w:line="256" w:lineRule="auto"/>
              <w:rPr>
                <w:rFonts w:cs="Calibri"/>
                <w:color w:val="000000"/>
              </w:rPr>
            </w:pPr>
            <w:r w:rsidRPr="00F46380">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3B98FAC4" w14:textId="77777777" w:rsidR="00F46380" w:rsidRPr="00F46380" w:rsidRDefault="00F46380">
            <w:pPr>
              <w:spacing w:line="256" w:lineRule="auto"/>
              <w:rPr>
                <w:rFonts w:cs="Calibri"/>
                <w:color w:val="000000"/>
              </w:rPr>
            </w:pPr>
            <w:r w:rsidRPr="00F46380">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76D8FC81" w14:textId="77777777" w:rsidR="00F46380" w:rsidRPr="00F46380" w:rsidRDefault="00F46380">
            <w:pPr>
              <w:spacing w:line="256" w:lineRule="auto"/>
              <w:rPr>
                <w:rFonts w:cs="Calibri"/>
                <w:color w:val="000000"/>
              </w:rPr>
            </w:pPr>
            <w:r w:rsidRPr="00F46380">
              <w:rPr>
                <w:rFonts w:cs="Calibri"/>
                <w:color w:val="000000"/>
              </w:rPr>
              <w:t> </w:t>
            </w:r>
          </w:p>
        </w:tc>
      </w:tr>
    </w:tbl>
    <w:p w14:paraId="463E18B9" w14:textId="77777777" w:rsidR="00F46380" w:rsidRDefault="00F46380" w:rsidP="00F46380">
      <w:pPr>
        <w:rPr>
          <w:szCs w:val="24"/>
        </w:rPr>
      </w:pPr>
    </w:p>
    <w:p w14:paraId="5747438D" w14:textId="77777777" w:rsidR="00F46380" w:rsidRDefault="00F46380" w:rsidP="00F46380">
      <w:pPr>
        <w:pStyle w:val="Heading2"/>
      </w:pPr>
    </w:p>
    <w:bookmarkEnd w:id="0"/>
    <w:bookmarkEnd w:id="1"/>
    <w:bookmarkEnd w:id="2"/>
    <w:p w14:paraId="63F769F6" w14:textId="77777777" w:rsidR="00BF4991" w:rsidRDefault="00BF4991" w:rsidP="001B1FD7">
      <w:pPr>
        <w:pStyle w:val="Heading1"/>
        <w:rPr>
          <w:rFonts w:ascii="Calibri" w:eastAsia="Calibri" w:hAnsi="Calibri" w:cs="Times New Roman"/>
          <w:bCs w:val="0"/>
          <w:color w:val="auto"/>
          <w:kern w:val="0"/>
          <w:sz w:val="28"/>
          <w:szCs w:val="28"/>
          <w:lang w:eastAsia="en-US"/>
        </w:rPr>
      </w:pPr>
    </w:p>
    <w:p w14:paraId="25A8F83B" w14:textId="77777777" w:rsidR="001E292E" w:rsidRDefault="001E292E" w:rsidP="001B1FD7">
      <w:pPr>
        <w:pStyle w:val="Heading1"/>
        <w:rPr>
          <w:rFonts w:ascii="Calibri" w:eastAsia="Calibri" w:hAnsi="Calibri" w:cs="Times New Roman"/>
          <w:bCs w:val="0"/>
          <w:color w:val="auto"/>
          <w:kern w:val="0"/>
          <w:sz w:val="28"/>
          <w:szCs w:val="28"/>
          <w:lang w:eastAsia="en-US"/>
        </w:rPr>
      </w:pPr>
    </w:p>
    <w:p w14:paraId="5E47BE8E" w14:textId="77777777" w:rsidR="001E292E" w:rsidRDefault="001E292E" w:rsidP="001B1FD7">
      <w:pPr>
        <w:pStyle w:val="Heading1"/>
        <w:rPr>
          <w:rFonts w:ascii="Calibri" w:eastAsia="Calibri" w:hAnsi="Calibri" w:cs="Times New Roman"/>
          <w:bCs w:val="0"/>
          <w:color w:val="auto"/>
          <w:kern w:val="0"/>
          <w:sz w:val="28"/>
          <w:szCs w:val="28"/>
          <w:lang w:eastAsia="en-US"/>
        </w:rPr>
      </w:pPr>
    </w:p>
    <w:p w14:paraId="01664699" w14:textId="77777777" w:rsidR="001E292E" w:rsidRPr="00550C86" w:rsidRDefault="001E292E" w:rsidP="001B1FD7">
      <w:pPr>
        <w:pStyle w:val="Heading1"/>
        <w:rPr>
          <w:rFonts w:ascii="Calibri" w:eastAsia="Calibri" w:hAnsi="Calibri" w:cs="Times New Roman"/>
          <w:bCs w:val="0"/>
          <w:color w:val="auto"/>
          <w:kern w:val="0"/>
          <w:sz w:val="28"/>
          <w:szCs w:val="28"/>
          <w:lang w:eastAsia="en-US"/>
        </w:rPr>
      </w:pPr>
    </w:p>
    <w:p w14:paraId="4BAF1C78" w14:textId="77777777" w:rsidR="0090454F" w:rsidRPr="0090454F" w:rsidRDefault="0090454F" w:rsidP="0090454F">
      <w:pPr>
        <w:pStyle w:val="ListParagraph"/>
        <w:ind w:left="0"/>
        <w:jc w:val="both"/>
        <w:rPr>
          <w:b/>
          <w:bCs/>
        </w:rPr>
      </w:pPr>
      <w:r w:rsidRPr="0090454F">
        <w:rPr>
          <w:b/>
          <w:bCs/>
        </w:rPr>
        <w:t>Introduction</w:t>
      </w:r>
    </w:p>
    <w:p w14:paraId="17E40CFA" w14:textId="7D918126" w:rsidR="007C0141" w:rsidRPr="00C6542F" w:rsidRDefault="004B7CDD" w:rsidP="0090454F">
      <w:pPr>
        <w:pStyle w:val="ListParagraph"/>
        <w:ind w:left="0"/>
        <w:jc w:val="both"/>
        <w:rPr>
          <w:rFonts w:cs="Calibri"/>
          <w:color w:val="282828"/>
          <w:shd w:val="clear" w:color="auto" w:fill="FFFFFF"/>
        </w:rPr>
      </w:pPr>
      <w:r w:rsidRPr="00C6542F">
        <w:rPr>
          <w:rFonts w:cs="Calibri"/>
          <w:color w:val="282828"/>
          <w:shd w:val="clear" w:color="auto" w:fill="FFFFFF"/>
        </w:rPr>
        <w:t>To complete your</w:t>
      </w:r>
      <w:r w:rsidR="007C0141" w:rsidRPr="00C6542F">
        <w:rPr>
          <w:rFonts w:cs="Calibri"/>
          <w:color w:val="282828"/>
          <w:shd w:val="clear" w:color="auto" w:fill="FFFFFF"/>
        </w:rPr>
        <w:t xml:space="preserve"> duties </w:t>
      </w:r>
      <w:r w:rsidRPr="00C6542F">
        <w:rPr>
          <w:rFonts w:cs="Calibri"/>
          <w:color w:val="282828"/>
          <w:shd w:val="clear" w:color="auto" w:fill="FFFFFF"/>
        </w:rPr>
        <w:t>for the</w:t>
      </w:r>
      <w:r w:rsidRPr="004B7CDD">
        <w:rPr>
          <w:rFonts w:cs="Calibri"/>
          <w:szCs w:val="24"/>
        </w:rPr>
        <w:t xml:space="preserve"> </w:t>
      </w:r>
      <w:proofErr w:type="spellStart"/>
      <w:r w:rsidR="00405BAE">
        <w:rPr>
          <w:rFonts w:cs="Calibri"/>
          <w:szCs w:val="24"/>
        </w:rPr>
        <w:t>Habbibi</w:t>
      </w:r>
      <w:proofErr w:type="spellEnd"/>
      <w:r>
        <w:rPr>
          <w:rFonts w:cs="Calibri"/>
          <w:szCs w:val="24"/>
        </w:rPr>
        <w:t xml:space="preserve"> </w:t>
      </w:r>
      <w:r w:rsidR="007C0141" w:rsidRPr="00C6542F">
        <w:rPr>
          <w:rFonts w:cs="Calibri"/>
          <w:color w:val="282828"/>
          <w:shd w:val="clear" w:color="auto" w:fill="FFFFFF"/>
        </w:rPr>
        <w:t>you might need to travel or incur other expenses for business reasons</w:t>
      </w:r>
      <w:r w:rsidRPr="00C6542F">
        <w:rPr>
          <w:rFonts w:cs="Calibri"/>
          <w:color w:val="282828"/>
          <w:shd w:val="clear" w:color="auto" w:fill="FFFFFF"/>
        </w:rPr>
        <w:t>.</w:t>
      </w:r>
      <w:r w:rsidR="0098032B" w:rsidRPr="00C6542F">
        <w:rPr>
          <w:rFonts w:cs="Calibri"/>
          <w:color w:val="282828"/>
          <w:shd w:val="clear" w:color="auto" w:fill="FFFFFF"/>
        </w:rPr>
        <w:t xml:space="preserve"> This policy details the expenses that will be reimbursed. </w:t>
      </w:r>
    </w:p>
    <w:p w14:paraId="22D2888C" w14:textId="77777777" w:rsidR="0098032B" w:rsidRDefault="0098032B" w:rsidP="0098032B">
      <w:pPr>
        <w:spacing w:after="0"/>
        <w:jc w:val="both"/>
      </w:pPr>
      <w:r>
        <w:t>Therefore, t</w:t>
      </w:r>
      <w:r w:rsidRPr="00C252A5">
        <w:t xml:space="preserve">his policy applies to all </w:t>
      </w:r>
      <w:r>
        <w:t>temporary worker</w:t>
      </w:r>
      <w:r w:rsidRPr="00C252A5">
        <w:t>s</w:t>
      </w:r>
      <w:r>
        <w:t xml:space="preserve">, employees, </w:t>
      </w:r>
      <w:r w:rsidRPr="00C252A5">
        <w:t>agency workers and contractors.</w:t>
      </w:r>
    </w:p>
    <w:p w14:paraId="01CD1F68" w14:textId="77777777" w:rsidR="007C0141" w:rsidRDefault="007C0141" w:rsidP="0090454F">
      <w:pPr>
        <w:pStyle w:val="ListParagraph"/>
        <w:ind w:left="0"/>
        <w:jc w:val="both"/>
      </w:pPr>
    </w:p>
    <w:p w14:paraId="353A8344" w14:textId="77777777" w:rsidR="0090454F" w:rsidRDefault="0090454F" w:rsidP="0090454F">
      <w:pPr>
        <w:pStyle w:val="ListParagraph"/>
        <w:ind w:left="0"/>
        <w:jc w:val="both"/>
      </w:pPr>
      <w:r>
        <w:t xml:space="preserve"> In the event that an expense claim is contemplated in respect of an item not included in this manual, or an employee has a query relating to the payment of expenses under this policy, the matter should be referred in the first instance to the </w:t>
      </w:r>
      <w:r w:rsidR="00D20E0F">
        <w:t>HR department</w:t>
      </w:r>
      <w:r>
        <w:t xml:space="preserve">. The </w:t>
      </w:r>
      <w:r w:rsidR="00353957">
        <w:t>Organisation</w:t>
      </w:r>
      <w:r>
        <w:t xml:space="preserve"> will reimburse to employees the actual cost of allowable, business expenses incurred wholly, exclusively and necessarily in the performance of the duties of their employment. When incurring business expenses, employees are expected to: </w:t>
      </w:r>
    </w:p>
    <w:p w14:paraId="20CAA12C" w14:textId="77777777" w:rsidR="0090454F" w:rsidRDefault="0090454F" w:rsidP="0090454F">
      <w:pPr>
        <w:pStyle w:val="ListParagraph"/>
        <w:ind w:left="0"/>
        <w:jc w:val="both"/>
      </w:pPr>
    </w:p>
    <w:p w14:paraId="1895DAD2" w14:textId="77777777" w:rsidR="003C4258" w:rsidRDefault="0090454F" w:rsidP="003C4258">
      <w:pPr>
        <w:pStyle w:val="ListParagraph"/>
        <w:numPr>
          <w:ilvl w:val="0"/>
          <w:numId w:val="5"/>
        </w:numPr>
        <w:jc w:val="both"/>
      </w:pPr>
      <w:r>
        <w:t xml:space="preserve">Minimise costs without impairing the efficiency of the </w:t>
      </w:r>
      <w:r w:rsidR="00353957">
        <w:t>organisation</w:t>
      </w:r>
      <w:r>
        <w:t xml:space="preserve"> </w:t>
      </w:r>
    </w:p>
    <w:p w14:paraId="47F868DB" w14:textId="77777777" w:rsidR="0090454F" w:rsidRDefault="0090454F" w:rsidP="003C4258">
      <w:pPr>
        <w:pStyle w:val="ListParagraph"/>
        <w:numPr>
          <w:ilvl w:val="0"/>
          <w:numId w:val="5"/>
        </w:numPr>
        <w:jc w:val="both"/>
      </w:pPr>
      <w:r>
        <w:t>Avoid unnecessary cost</w:t>
      </w:r>
    </w:p>
    <w:p w14:paraId="1FDB66BD" w14:textId="77777777" w:rsidR="0090454F" w:rsidRDefault="0090454F" w:rsidP="0090454F">
      <w:pPr>
        <w:pStyle w:val="ListParagraph"/>
        <w:ind w:left="0"/>
        <w:jc w:val="both"/>
      </w:pPr>
    </w:p>
    <w:p w14:paraId="3F011795" w14:textId="77777777" w:rsidR="0090454F" w:rsidRDefault="0090454F" w:rsidP="0090454F">
      <w:pPr>
        <w:pStyle w:val="ListParagraph"/>
        <w:ind w:left="0"/>
        <w:jc w:val="both"/>
      </w:pPr>
      <w:r>
        <w:t xml:space="preserve"> In general, reimbursement of allowable business expenses will only be made on the production of receipts or invoices. </w:t>
      </w:r>
    </w:p>
    <w:p w14:paraId="27F28E71" w14:textId="77777777" w:rsidR="0090454F" w:rsidRDefault="0090454F" w:rsidP="0090454F">
      <w:pPr>
        <w:pStyle w:val="ListParagraph"/>
        <w:ind w:left="0"/>
        <w:jc w:val="both"/>
      </w:pPr>
    </w:p>
    <w:p w14:paraId="1F4F3A54" w14:textId="09941D07" w:rsidR="0090454F" w:rsidRDefault="0090454F" w:rsidP="0090454F">
      <w:pPr>
        <w:pStyle w:val="ListParagraph"/>
        <w:ind w:left="0"/>
        <w:jc w:val="both"/>
      </w:pPr>
      <w:r w:rsidRPr="0090454F">
        <w:rPr>
          <w:b/>
          <w:bCs/>
        </w:rPr>
        <w:t xml:space="preserve">Claim </w:t>
      </w:r>
      <w:r w:rsidR="00392C12">
        <w:rPr>
          <w:b/>
          <w:bCs/>
        </w:rPr>
        <w:t xml:space="preserve">App or </w:t>
      </w:r>
      <w:r w:rsidRPr="0090454F">
        <w:rPr>
          <w:b/>
          <w:bCs/>
        </w:rPr>
        <w:t>Form</w:t>
      </w:r>
      <w:r>
        <w:t xml:space="preserve"> </w:t>
      </w:r>
    </w:p>
    <w:p w14:paraId="2ABB9684" w14:textId="5327A3FC" w:rsidR="00392C12" w:rsidRDefault="0090454F" w:rsidP="0090454F">
      <w:pPr>
        <w:pStyle w:val="ListParagraph"/>
        <w:ind w:left="0"/>
        <w:jc w:val="both"/>
      </w:pPr>
      <w:r>
        <w:t xml:space="preserve">Allowable business expenses incurred on behalf of the </w:t>
      </w:r>
      <w:r w:rsidR="00353957">
        <w:t>organisation</w:t>
      </w:r>
      <w:r>
        <w:t xml:space="preserve"> must be recorded in detail </w:t>
      </w:r>
      <w:r w:rsidR="00392C12">
        <w:t>i</w:t>
      </w:r>
      <w:r>
        <w:t xml:space="preserve">n </w:t>
      </w:r>
      <w:r w:rsidR="00392C12">
        <w:t>the expense’s app Xero,</w:t>
      </w:r>
      <w:r>
        <w:t xml:space="preserve"> available </w:t>
      </w:r>
      <w:r w:rsidR="00392C12">
        <w:t xml:space="preserve">online. </w:t>
      </w:r>
      <w:r w:rsidR="000D086A">
        <w:t xml:space="preserve">Employees need to </w:t>
      </w:r>
      <w:r w:rsidR="00FC16F3">
        <w:t xml:space="preserve">submit a </w:t>
      </w:r>
      <w:r w:rsidR="000D086A">
        <w:t>request</w:t>
      </w:r>
      <w:r w:rsidR="00FC16F3">
        <w:t xml:space="preserve"> to the Operations Manager for </w:t>
      </w:r>
      <w:r w:rsidR="000D086A">
        <w:t xml:space="preserve">a profile </w:t>
      </w:r>
      <w:r w:rsidR="00FC16F3">
        <w:t xml:space="preserve">to </w:t>
      </w:r>
      <w:r w:rsidR="000D086A">
        <w:t>be created for them on the app before any expenses are incurred.</w:t>
      </w:r>
    </w:p>
    <w:p w14:paraId="3E18B84A" w14:textId="77777777" w:rsidR="00392C12" w:rsidRDefault="00392C12" w:rsidP="0090454F">
      <w:pPr>
        <w:pStyle w:val="ListParagraph"/>
        <w:ind w:left="0"/>
        <w:jc w:val="both"/>
      </w:pPr>
    </w:p>
    <w:p w14:paraId="3D7D619D" w14:textId="4FB296CA" w:rsidR="003D58B5" w:rsidRDefault="0090454F" w:rsidP="0090454F">
      <w:pPr>
        <w:pStyle w:val="ListParagraph"/>
        <w:ind w:left="0"/>
        <w:jc w:val="both"/>
      </w:pPr>
      <w:r>
        <w:t xml:space="preserve"> Original receipts or invoices must be </w:t>
      </w:r>
      <w:r w:rsidR="000D086A">
        <w:t xml:space="preserve">attached in app to each individual item </w:t>
      </w:r>
      <w:r>
        <w:t xml:space="preserve">claim. </w:t>
      </w:r>
      <w:r w:rsidR="000D086A">
        <w:t xml:space="preserve">Original receipts should be kept by the individual should </w:t>
      </w:r>
      <w:r w:rsidR="002F2A66">
        <w:t xml:space="preserve">the finance team request them. </w:t>
      </w:r>
      <w:r>
        <w:t>Where VAT is chargeable on an expense an appropriate VAT invoice should be obtained from the supplier. Line Managers should ensure that any items of expenditure that give rise to concern should be fully investigated.</w:t>
      </w:r>
    </w:p>
    <w:p w14:paraId="114F9C2D" w14:textId="36272731" w:rsidR="002F2A66" w:rsidRDefault="002F2A66" w:rsidP="0090454F">
      <w:pPr>
        <w:pStyle w:val="ListParagraph"/>
        <w:ind w:left="0"/>
        <w:jc w:val="both"/>
      </w:pPr>
    </w:p>
    <w:p w14:paraId="17174929" w14:textId="4FFECE96" w:rsidR="002F2A66" w:rsidRDefault="002F2A66" w:rsidP="0090454F">
      <w:pPr>
        <w:pStyle w:val="ListParagraph"/>
        <w:ind w:left="0"/>
        <w:jc w:val="both"/>
      </w:pPr>
      <w:r>
        <w:t>In the rare occasion that the app is not working or it is not accessible to an individual, a claim form will be available from the HR department</w:t>
      </w:r>
      <w:r w:rsidR="00D23B5C">
        <w:t>,</w:t>
      </w:r>
      <w:r>
        <w:t xml:space="preserve"> which will need to be completed. </w:t>
      </w:r>
      <w:r w:rsidR="00D23B5C">
        <w:t>The claim form should only be used as a last resort and all efforts should be made to submit expenses through the expenses app.</w:t>
      </w:r>
    </w:p>
    <w:p w14:paraId="0E168740" w14:textId="77777777" w:rsidR="003D58B5" w:rsidRDefault="003D58B5" w:rsidP="0090454F">
      <w:pPr>
        <w:pStyle w:val="ListParagraph"/>
        <w:ind w:left="0"/>
        <w:jc w:val="both"/>
      </w:pPr>
    </w:p>
    <w:p w14:paraId="038EB3BE" w14:textId="77777777" w:rsidR="0090454F" w:rsidRDefault="0090454F" w:rsidP="0090454F">
      <w:pPr>
        <w:pStyle w:val="ListParagraph"/>
        <w:ind w:left="0"/>
        <w:jc w:val="both"/>
      </w:pPr>
      <w:r>
        <w:t xml:space="preserve">Expenses claims passed for payment will be paid by cheque or BACS transfer. </w:t>
      </w:r>
    </w:p>
    <w:p w14:paraId="14924124" w14:textId="77777777" w:rsidR="0090454F" w:rsidRDefault="0090454F" w:rsidP="0090454F">
      <w:pPr>
        <w:pStyle w:val="ListParagraph"/>
        <w:ind w:left="0"/>
        <w:jc w:val="both"/>
      </w:pPr>
    </w:p>
    <w:p w14:paraId="49D9AFA2" w14:textId="77777777" w:rsidR="0090454F" w:rsidRPr="00842963" w:rsidRDefault="0090454F" w:rsidP="0090454F">
      <w:pPr>
        <w:pStyle w:val="ListParagraph"/>
        <w:ind w:left="0"/>
        <w:jc w:val="both"/>
        <w:rPr>
          <w:b/>
          <w:bCs/>
        </w:rPr>
      </w:pPr>
      <w:r w:rsidRPr="00842963">
        <w:rPr>
          <w:b/>
          <w:bCs/>
        </w:rPr>
        <w:t xml:space="preserve">Deadlines </w:t>
      </w:r>
    </w:p>
    <w:p w14:paraId="3F33C47A" w14:textId="77777777" w:rsidR="00842963" w:rsidRDefault="0090454F" w:rsidP="0090454F">
      <w:pPr>
        <w:pStyle w:val="ListParagraph"/>
        <w:ind w:left="0"/>
        <w:jc w:val="both"/>
      </w:pPr>
      <w:r>
        <w:t xml:space="preserve">Expenses being claimed must be received by the end of the month in which the transaction occurred. </w:t>
      </w:r>
    </w:p>
    <w:p w14:paraId="40054201" w14:textId="77777777" w:rsidR="00842963" w:rsidRDefault="00842963" w:rsidP="0090454F">
      <w:pPr>
        <w:pStyle w:val="ListParagraph"/>
        <w:ind w:left="0"/>
        <w:jc w:val="both"/>
      </w:pPr>
    </w:p>
    <w:p w14:paraId="24C1F75B" w14:textId="77777777" w:rsidR="00842963" w:rsidRDefault="0090454F" w:rsidP="0090454F">
      <w:pPr>
        <w:pStyle w:val="ListParagraph"/>
        <w:ind w:left="0"/>
        <w:jc w:val="both"/>
      </w:pPr>
      <w:r>
        <w:t>The only exception to this is for low value claims. Expense claims may be accumulated over longer periods provided the total amount claimed is less than £</w:t>
      </w:r>
      <w:r w:rsidR="00842963">
        <w:t>4</w:t>
      </w:r>
      <w:r>
        <w:t xml:space="preserve">0. </w:t>
      </w:r>
    </w:p>
    <w:p w14:paraId="403B337A" w14:textId="77777777" w:rsidR="00842963" w:rsidRDefault="00842963" w:rsidP="0090454F">
      <w:pPr>
        <w:pStyle w:val="ListParagraph"/>
        <w:ind w:left="0"/>
        <w:jc w:val="both"/>
      </w:pPr>
    </w:p>
    <w:p w14:paraId="3A32ABDC" w14:textId="77777777" w:rsidR="00842963" w:rsidRDefault="0090454F" w:rsidP="0090454F">
      <w:pPr>
        <w:pStyle w:val="ListParagraph"/>
        <w:ind w:left="0"/>
        <w:jc w:val="both"/>
      </w:pPr>
      <w:r>
        <w:t xml:space="preserve">Complete and accurate claims for allowable business expenses received will normally be paid </w:t>
      </w:r>
      <w:r w:rsidR="00842963">
        <w:t>0n the 10</w:t>
      </w:r>
      <w:r w:rsidR="00842963" w:rsidRPr="00842963">
        <w:rPr>
          <w:vertAlign w:val="superscript"/>
        </w:rPr>
        <w:t>th</w:t>
      </w:r>
      <w:r w:rsidR="00842963">
        <w:t xml:space="preserve"> of each month.</w:t>
      </w:r>
      <w:r>
        <w:t xml:space="preserve"> </w:t>
      </w:r>
    </w:p>
    <w:p w14:paraId="44F7D6E9" w14:textId="77777777" w:rsidR="00842963" w:rsidRDefault="00842963" w:rsidP="0090454F">
      <w:pPr>
        <w:pStyle w:val="ListParagraph"/>
        <w:ind w:left="0"/>
        <w:jc w:val="both"/>
      </w:pPr>
    </w:p>
    <w:p w14:paraId="72FC8720" w14:textId="77777777" w:rsidR="00842963" w:rsidRDefault="0090454F" w:rsidP="0090454F">
      <w:pPr>
        <w:pStyle w:val="ListParagraph"/>
        <w:ind w:left="0"/>
        <w:jc w:val="both"/>
      </w:pPr>
      <w:r>
        <w:t xml:space="preserve">If expenses have to be returned because of incompleteness or missing receipts, this may result in a delay in payment. </w:t>
      </w:r>
    </w:p>
    <w:p w14:paraId="5CD8D8B3" w14:textId="77777777" w:rsidR="00842963" w:rsidRDefault="00842963" w:rsidP="0090454F">
      <w:pPr>
        <w:pStyle w:val="ListParagraph"/>
        <w:ind w:left="0"/>
        <w:jc w:val="both"/>
      </w:pPr>
    </w:p>
    <w:p w14:paraId="05FE3175" w14:textId="77777777" w:rsidR="0090454F" w:rsidRDefault="0090454F" w:rsidP="0090454F">
      <w:pPr>
        <w:pStyle w:val="ListParagraph"/>
        <w:ind w:left="0"/>
        <w:jc w:val="both"/>
      </w:pPr>
      <w:r>
        <w:t>Expenses should be submitted within a month of the spend occurring to enable to business to manage costs.</w:t>
      </w:r>
    </w:p>
    <w:p w14:paraId="03BC1499" w14:textId="77777777" w:rsidR="0090454F" w:rsidRDefault="0090454F" w:rsidP="0090454F">
      <w:pPr>
        <w:pStyle w:val="ListParagraph"/>
        <w:ind w:left="0"/>
        <w:jc w:val="both"/>
      </w:pPr>
    </w:p>
    <w:p w14:paraId="616EE2CF" w14:textId="77777777" w:rsidR="0090454F" w:rsidRDefault="0090454F" w:rsidP="0090454F">
      <w:pPr>
        <w:pStyle w:val="ListParagraph"/>
        <w:ind w:left="0"/>
        <w:jc w:val="both"/>
      </w:pPr>
      <w:r>
        <w:t xml:space="preserve"> </w:t>
      </w:r>
      <w:r w:rsidRPr="0090454F">
        <w:rPr>
          <w:b/>
          <w:bCs/>
        </w:rPr>
        <w:t>Business Travel</w:t>
      </w:r>
      <w:r>
        <w:t xml:space="preserve"> </w:t>
      </w:r>
    </w:p>
    <w:p w14:paraId="760005FF" w14:textId="6881430E" w:rsidR="00265FFC" w:rsidRDefault="0090454F" w:rsidP="0090454F">
      <w:pPr>
        <w:pStyle w:val="ListParagraph"/>
        <w:ind w:left="0"/>
        <w:jc w:val="both"/>
      </w:pPr>
      <w:r>
        <w:t>Business travel occurs when an employee is required to travel in the performance of the duties of their employment.</w:t>
      </w:r>
    </w:p>
    <w:p w14:paraId="79F30FEE" w14:textId="77777777" w:rsidR="00265FFC" w:rsidRDefault="00265FFC" w:rsidP="0090454F">
      <w:pPr>
        <w:pStyle w:val="ListParagraph"/>
        <w:ind w:left="0"/>
        <w:jc w:val="both"/>
      </w:pPr>
    </w:p>
    <w:p w14:paraId="7CB706E2" w14:textId="77777777" w:rsidR="0090454F" w:rsidRDefault="0090454F" w:rsidP="0090454F">
      <w:pPr>
        <w:pStyle w:val="ListParagraph"/>
        <w:ind w:left="0"/>
        <w:jc w:val="both"/>
        <w:rPr>
          <w:b/>
          <w:bCs/>
        </w:rPr>
      </w:pPr>
      <w:r>
        <w:t xml:space="preserve">All journeys between home and the normal office location are regarded as private travel. A mileage claim will not be valid for the daily journey to work to an employee’s permanent location. Business Mileage can be claimed for a journey from an employee’s permanent location to a specific destination, which is being visited for a reason related to business activity and not from an employee’s home to that destination, unless the distance travelled will be shorter, in which case the actual distance travelled should be claimed. </w:t>
      </w:r>
    </w:p>
    <w:p w14:paraId="148FFBD3" w14:textId="77777777" w:rsidR="0090454F" w:rsidRDefault="0090454F" w:rsidP="0090454F">
      <w:pPr>
        <w:pStyle w:val="ListParagraph"/>
        <w:ind w:left="0"/>
        <w:jc w:val="both"/>
        <w:rPr>
          <w:b/>
          <w:bCs/>
        </w:rPr>
      </w:pPr>
    </w:p>
    <w:p w14:paraId="72BC7A88" w14:textId="77777777" w:rsidR="0090454F" w:rsidRDefault="0090454F" w:rsidP="0090454F">
      <w:pPr>
        <w:pStyle w:val="ListParagraph"/>
        <w:ind w:left="0"/>
        <w:jc w:val="both"/>
      </w:pPr>
      <w:r w:rsidRPr="0090454F">
        <w:rPr>
          <w:b/>
          <w:bCs/>
        </w:rPr>
        <w:t>Allowable Business Expenses</w:t>
      </w:r>
      <w:r>
        <w:t xml:space="preserve"> </w:t>
      </w:r>
    </w:p>
    <w:p w14:paraId="43B5AC0A" w14:textId="77777777" w:rsidR="00265FFC" w:rsidRDefault="0090454F" w:rsidP="0090454F">
      <w:pPr>
        <w:pStyle w:val="ListParagraph"/>
        <w:ind w:left="0"/>
        <w:jc w:val="both"/>
      </w:pPr>
      <w:r>
        <w:t xml:space="preserve">Allowable business expenses, for the purposes of employee business expense claims are as described below: </w:t>
      </w:r>
    </w:p>
    <w:p w14:paraId="2B95E68F" w14:textId="77777777" w:rsidR="00265FFC" w:rsidRDefault="00265FFC" w:rsidP="0090454F">
      <w:pPr>
        <w:pStyle w:val="ListParagraph"/>
        <w:ind w:left="0"/>
        <w:jc w:val="both"/>
      </w:pPr>
    </w:p>
    <w:p w14:paraId="30BAB725" w14:textId="77777777" w:rsidR="00265FFC" w:rsidRDefault="0090454F" w:rsidP="0090454F">
      <w:pPr>
        <w:pStyle w:val="ListParagraph"/>
        <w:ind w:left="0"/>
        <w:jc w:val="both"/>
      </w:pPr>
      <w:r w:rsidRPr="00265FFC">
        <w:rPr>
          <w:u w:val="single"/>
        </w:rPr>
        <w:t>Air Travel</w:t>
      </w:r>
      <w:r>
        <w:t xml:space="preserve"> </w:t>
      </w:r>
    </w:p>
    <w:p w14:paraId="0610CCF4" w14:textId="77777777" w:rsidR="000F4546" w:rsidRDefault="0090454F" w:rsidP="0090454F">
      <w:pPr>
        <w:pStyle w:val="ListParagraph"/>
        <w:ind w:left="0"/>
        <w:jc w:val="both"/>
      </w:pPr>
      <w:r>
        <w:t xml:space="preserve">Air travel will be booked via the </w:t>
      </w:r>
      <w:r w:rsidR="00265FFC">
        <w:t xml:space="preserve">Head </w:t>
      </w:r>
      <w:r>
        <w:t xml:space="preserve">office </w:t>
      </w:r>
      <w:r w:rsidR="00265FFC">
        <w:t>in Wakefield</w:t>
      </w:r>
      <w:r>
        <w:t>. In exceptional circumstances</w:t>
      </w:r>
      <w:r w:rsidR="00265FFC">
        <w:t xml:space="preserve">, with prior approval from </w:t>
      </w:r>
      <w:r w:rsidR="000F4546">
        <w:t xml:space="preserve">the </w:t>
      </w:r>
      <w:r w:rsidR="00F90E99">
        <w:t>operations</w:t>
      </w:r>
      <w:r w:rsidR="000F4546">
        <w:t xml:space="preserve"> manager</w:t>
      </w:r>
      <w:r w:rsidR="00312553">
        <w:t xml:space="preserve"> in writing</w:t>
      </w:r>
      <w:r w:rsidR="000F4546">
        <w:t>,</w:t>
      </w:r>
      <w:r>
        <w:t xml:space="preserve"> reimbursement of air travel booked directly by an employee may be claimed within an ordinary expense claim form, subject to the following terms:</w:t>
      </w:r>
    </w:p>
    <w:p w14:paraId="4D935D32" w14:textId="77777777" w:rsidR="000F4546" w:rsidRDefault="000F4546" w:rsidP="0090454F">
      <w:pPr>
        <w:pStyle w:val="ListParagraph"/>
        <w:ind w:left="0"/>
        <w:jc w:val="both"/>
      </w:pPr>
    </w:p>
    <w:p w14:paraId="296B159E" w14:textId="77777777" w:rsidR="000F4546" w:rsidRDefault="0090454F" w:rsidP="000F4546">
      <w:pPr>
        <w:pStyle w:val="ListParagraph"/>
        <w:numPr>
          <w:ilvl w:val="0"/>
          <w:numId w:val="6"/>
        </w:numPr>
        <w:jc w:val="both"/>
      </w:pPr>
      <w:r>
        <w:t xml:space="preserve">Travel is in tourist/economy or equivalent class </w:t>
      </w:r>
    </w:p>
    <w:p w14:paraId="0C2908B2" w14:textId="77777777" w:rsidR="000F4546" w:rsidRDefault="0090454F" w:rsidP="000F4546">
      <w:pPr>
        <w:pStyle w:val="ListParagraph"/>
        <w:numPr>
          <w:ilvl w:val="0"/>
          <w:numId w:val="6"/>
        </w:numPr>
        <w:jc w:val="both"/>
      </w:pPr>
      <w:r>
        <w:t>Upgrades to business or equivalent class may only be made if available at no additional cost</w:t>
      </w:r>
    </w:p>
    <w:p w14:paraId="1D3F5448" w14:textId="77777777" w:rsidR="000F4546" w:rsidRDefault="0090454F" w:rsidP="000F4546">
      <w:pPr>
        <w:pStyle w:val="ListParagraph"/>
        <w:numPr>
          <w:ilvl w:val="0"/>
          <w:numId w:val="6"/>
        </w:numPr>
        <w:jc w:val="both"/>
      </w:pPr>
      <w:r>
        <w:t>In exceptional circumstances employees may travel in business class or equivalent provided prior approval is granted by a</w:t>
      </w:r>
      <w:r w:rsidR="000F4546">
        <w:t>n operations manager</w:t>
      </w:r>
    </w:p>
    <w:p w14:paraId="219109CD" w14:textId="774100D2" w:rsidR="000F4546" w:rsidRDefault="0090454F" w:rsidP="000F4546">
      <w:pPr>
        <w:pStyle w:val="ListParagraph"/>
        <w:numPr>
          <w:ilvl w:val="0"/>
          <w:numId w:val="6"/>
        </w:numPr>
        <w:jc w:val="both"/>
      </w:pPr>
      <w:r>
        <w:t>Trading down (</w:t>
      </w:r>
      <w:r w:rsidR="005F7412">
        <w:t>i.e.,</w:t>
      </w:r>
      <w:r>
        <w:t xml:space="preserve"> travelling by a lower class in order to claim an extra ticket for an employee’s guest) is not permitted</w:t>
      </w:r>
    </w:p>
    <w:p w14:paraId="5431C76D" w14:textId="77777777" w:rsidR="006A67A3" w:rsidRDefault="006A67A3" w:rsidP="000F4546">
      <w:pPr>
        <w:pStyle w:val="ListParagraph"/>
        <w:ind w:left="0"/>
        <w:jc w:val="both"/>
      </w:pPr>
    </w:p>
    <w:p w14:paraId="14BC8528" w14:textId="77777777" w:rsidR="006A67A3" w:rsidRDefault="0090454F" w:rsidP="000F4546">
      <w:pPr>
        <w:pStyle w:val="ListParagraph"/>
        <w:ind w:left="0"/>
        <w:jc w:val="both"/>
      </w:pPr>
      <w:r w:rsidRPr="006A67A3">
        <w:rPr>
          <w:u w:val="single"/>
        </w:rPr>
        <w:t>Rail Travel</w:t>
      </w:r>
      <w:r>
        <w:t xml:space="preserve"> </w:t>
      </w:r>
    </w:p>
    <w:p w14:paraId="1F4CF9DE" w14:textId="77777777" w:rsidR="006A67A3" w:rsidRDefault="0090454F" w:rsidP="000F4546">
      <w:pPr>
        <w:pStyle w:val="ListParagraph"/>
        <w:ind w:left="0"/>
        <w:jc w:val="both"/>
      </w:pPr>
      <w:r>
        <w:t xml:space="preserve">Employees are expected to book rail travel through the </w:t>
      </w:r>
      <w:r w:rsidR="006A67A3">
        <w:t>Head</w:t>
      </w:r>
      <w:r>
        <w:t xml:space="preserve"> office </w:t>
      </w:r>
      <w:r w:rsidR="006A67A3">
        <w:t>in Wakefield</w:t>
      </w:r>
      <w:r>
        <w:t xml:space="preserve"> with as much notice as possible in order to obtain the best possible fares. In exceptional circumstances</w:t>
      </w:r>
      <w:r w:rsidR="006A67A3">
        <w:t xml:space="preserve">, with prior approval from the </w:t>
      </w:r>
      <w:r w:rsidR="00B86FE2">
        <w:t>operations</w:t>
      </w:r>
      <w:r w:rsidR="006A67A3">
        <w:t xml:space="preserve"> manager</w:t>
      </w:r>
      <w:r w:rsidR="00312553">
        <w:t xml:space="preserve"> in writing</w:t>
      </w:r>
      <w:r w:rsidR="006A67A3">
        <w:t xml:space="preserve">, </w:t>
      </w:r>
      <w:r>
        <w:t>reimbursement of rail travel booked directly by an employee may be claimed back, subject to the following terms:</w:t>
      </w:r>
    </w:p>
    <w:p w14:paraId="671A852D" w14:textId="77777777" w:rsidR="006A67A3" w:rsidRDefault="006A67A3" w:rsidP="000F4546">
      <w:pPr>
        <w:pStyle w:val="ListParagraph"/>
        <w:ind w:left="0"/>
        <w:jc w:val="both"/>
      </w:pPr>
    </w:p>
    <w:p w14:paraId="7F73ECC8" w14:textId="77777777" w:rsidR="006A67A3" w:rsidRDefault="0090454F" w:rsidP="006A67A3">
      <w:pPr>
        <w:pStyle w:val="ListParagraph"/>
        <w:numPr>
          <w:ilvl w:val="0"/>
          <w:numId w:val="7"/>
        </w:numPr>
        <w:jc w:val="both"/>
      </w:pPr>
      <w:r>
        <w:t xml:space="preserve">All employees will travel standard or equivalent class </w:t>
      </w:r>
    </w:p>
    <w:p w14:paraId="1D4FA1E7" w14:textId="77777777" w:rsidR="006A67A3" w:rsidRDefault="0090454F" w:rsidP="006A67A3">
      <w:pPr>
        <w:pStyle w:val="ListParagraph"/>
        <w:numPr>
          <w:ilvl w:val="0"/>
          <w:numId w:val="7"/>
        </w:numPr>
        <w:jc w:val="both"/>
      </w:pPr>
      <w:r>
        <w:t>Lowest cost alternatives of day return or saver tickets should be used whenever possible</w:t>
      </w:r>
    </w:p>
    <w:p w14:paraId="1302EE77" w14:textId="77777777" w:rsidR="006A67A3" w:rsidRDefault="0090454F" w:rsidP="006A67A3">
      <w:pPr>
        <w:pStyle w:val="ListParagraph"/>
        <w:numPr>
          <w:ilvl w:val="0"/>
          <w:numId w:val="7"/>
        </w:numPr>
        <w:jc w:val="both"/>
      </w:pPr>
      <w:r>
        <w:t>In exceptional circumstances staff may travel first class provided prior approval is given by a</w:t>
      </w:r>
      <w:r w:rsidR="006A67A3">
        <w:t>n</w:t>
      </w:r>
      <w:r>
        <w:t xml:space="preserve"> </w:t>
      </w:r>
      <w:r w:rsidR="006A67A3">
        <w:t>operations manager</w:t>
      </w:r>
    </w:p>
    <w:p w14:paraId="72831302" w14:textId="77777777" w:rsidR="006A67A3" w:rsidRDefault="006A67A3" w:rsidP="006A67A3">
      <w:pPr>
        <w:pStyle w:val="ListParagraph"/>
        <w:ind w:left="0"/>
        <w:jc w:val="both"/>
      </w:pPr>
    </w:p>
    <w:p w14:paraId="297D3461" w14:textId="77777777" w:rsidR="006A67A3" w:rsidRDefault="0090454F" w:rsidP="006A67A3">
      <w:pPr>
        <w:pStyle w:val="ListParagraph"/>
        <w:ind w:left="0"/>
        <w:jc w:val="both"/>
      </w:pPr>
      <w:r w:rsidRPr="006A67A3">
        <w:rPr>
          <w:u w:val="single"/>
        </w:rPr>
        <w:t>Taxis</w:t>
      </w:r>
      <w:r>
        <w:t xml:space="preserve"> </w:t>
      </w:r>
    </w:p>
    <w:p w14:paraId="434F426F" w14:textId="77777777" w:rsidR="007773AB" w:rsidRDefault="0090454F" w:rsidP="006A67A3">
      <w:pPr>
        <w:pStyle w:val="ListParagraph"/>
        <w:ind w:left="0"/>
        <w:jc w:val="both"/>
      </w:pPr>
      <w:r>
        <w:t>Travelling employees should avoid the use of taxis unless alternatives are not available or impractical. The use of cost-effective public transport is encouraged whenever possible.</w:t>
      </w:r>
    </w:p>
    <w:p w14:paraId="52B463F4" w14:textId="77777777" w:rsidR="007773AB" w:rsidRDefault="007773AB" w:rsidP="006A67A3">
      <w:pPr>
        <w:pStyle w:val="ListParagraph"/>
        <w:ind w:left="0"/>
        <w:jc w:val="both"/>
      </w:pPr>
    </w:p>
    <w:p w14:paraId="6D6B7A5A" w14:textId="77777777" w:rsidR="007773AB" w:rsidRDefault="0090454F" w:rsidP="006A67A3">
      <w:pPr>
        <w:pStyle w:val="ListParagraph"/>
        <w:ind w:left="0"/>
        <w:jc w:val="both"/>
      </w:pPr>
      <w:r>
        <w:t>In exceptional circumstances where alternatives are not available, the cost of taxis may be claimed on an expense form and should be supported by receipts.</w:t>
      </w:r>
    </w:p>
    <w:p w14:paraId="4F41D26B" w14:textId="77777777" w:rsidR="007773AB" w:rsidRDefault="0090454F" w:rsidP="006A67A3">
      <w:pPr>
        <w:pStyle w:val="ListParagraph"/>
        <w:ind w:left="0"/>
        <w:jc w:val="both"/>
      </w:pPr>
      <w:r>
        <w:t>Taxis should only be used for transport to and from the place of work unless otherwise previously authorised by a</w:t>
      </w:r>
      <w:r w:rsidR="007773AB">
        <w:t>n operations manager</w:t>
      </w:r>
      <w:r>
        <w:t>.</w:t>
      </w:r>
    </w:p>
    <w:p w14:paraId="2B32394D" w14:textId="77777777" w:rsidR="007773AB" w:rsidRDefault="007773AB" w:rsidP="006A67A3">
      <w:pPr>
        <w:pStyle w:val="ListParagraph"/>
        <w:ind w:left="0"/>
        <w:jc w:val="both"/>
      </w:pPr>
    </w:p>
    <w:p w14:paraId="40CCFE10" w14:textId="77777777" w:rsidR="007773AB" w:rsidRDefault="0090454F" w:rsidP="006A67A3">
      <w:pPr>
        <w:pStyle w:val="ListParagraph"/>
        <w:ind w:left="0"/>
        <w:jc w:val="both"/>
      </w:pPr>
      <w:r w:rsidRPr="007773AB">
        <w:rPr>
          <w:u w:val="single"/>
        </w:rPr>
        <w:t>Hotel Accommodation</w:t>
      </w:r>
      <w:r>
        <w:t xml:space="preserve"> </w:t>
      </w:r>
    </w:p>
    <w:p w14:paraId="133B8368" w14:textId="69E8EA23" w:rsidR="007773AB" w:rsidRDefault="0090454F" w:rsidP="006A67A3">
      <w:pPr>
        <w:pStyle w:val="ListParagraph"/>
        <w:ind w:left="0"/>
        <w:jc w:val="both"/>
      </w:pPr>
      <w:r>
        <w:t xml:space="preserve">Employees are expected to book hotel accommodation (other than when included in a conference or training package) via the </w:t>
      </w:r>
      <w:r w:rsidR="00312553">
        <w:t xml:space="preserve">Head </w:t>
      </w:r>
      <w:r>
        <w:t xml:space="preserve">office </w:t>
      </w:r>
      <w:r w:rsidR="00312553">
        <w:t>in Wakefield</w:t>
      </w:r>
      <w:r>
        <w:t>. In exceptional circumstances</w:t>
      </w:r>
      <w:r w:rsidR="00312553">
        <w:t xml:space="preserve">, with prior approval from the </w:t>
      </w:r>
      <w:r w:rsidR="00493CD4">
        <w:t>operations</w:t>
      </w:r>
      <w:r w:rsidR="00312553">
        <w:t xml:space="preserve"> manager in </w:t>
      </w:r>
      <w:r w:rsidR="005F7412">
        <w:t>writing, reimbursement</w:t>
      </w:r>
      <w:r>
        <w:t xml:space="preserve"> of hotel accommodation costs may be claimed on an ordinary expense claim form, subject to the following terms: </w:t>
      </w:r>
    </w:p>
    <w:p w14:paraId="6D2CED38" w14:textId="77777777" w:rsidR="007773AB" w:rsidRDefault="007773AB" w:rsidP="006A67A3">
      <w:pPr>
        <w:pStyle w:val="ListParagraph"/>
        <w:ind w:left="0"/>
        <w:jc w:val="both"/>
      </w:pPr>
    </w:p>
    <w:p w14:paraId="6F955F46" w14:textId="77777777" w:rsidR="007773AB" w:rsidRDefault="0090454F" w:rsidP="007773AB">
      <w:pPr>
        <w:pStyle w:val="ListParagraph"/>
        <w:numPr>
          <w:ilvl w:val="0"/>
          <w:numId w:val="8"/>
        </w:numPr>
        <w:jc w:val="both"/>
      </w:pPr>
      <w:r>
        <w:t>Accommodation should be limited to standard rooms with en-suite facilities</w:t>
      </w:r>
    </w:p>
    <w:p w14:paraId="5074E9DA" w14:textId="77777777" w:rsidR="00837AE7" w:rsidRDefault="0090454F" w:rsidP="00837AE7">
      <w:pPr>
        <w:pStyle w:val="ListParagraph"/>
        <w:numPr>
          <w:ilvl w:val="0"/>
          <w:numId w:val="8"/>
        </w:numPr>
        <w:jc w:val="both"/>
      </w:pPr>
      <w:r>
        <w:t xml:space="preserve">Maximum UK hotel rates per night, inclusive of breakfast and VAT are: </w:t>
      </w:r>
    </w:p>
    <w:p w14:paraId="303C3FEA" w14:textId="77777777" w:rsidR="00837AE7" w:rsidRDefault="0090454F" w:rsidP="00837AE7">
      <w:pPr>
        <w:pStyle w:val="ListParagraph"/>
        <w:jc w:val="both"/>
      </w:pPr>
      <w:r>
        <w:t>London - £</w:t>
      </w:r>
      <w:r w:rsidR="00837AE7">
        <w:t>10</w:t>
      </w:r>
      <w:r>
        <w:t xml:space="preserve">5 </w:t>
      </w:r>
    </w:p>
    <w:p w14:paraId="126CC72E" w14:textId="77777777" w:rsidR="00837AE7" w:rsidRDefault="0090454F" w:rsidP="00837AE7">
      <w:pPr>
        <w:pStyle w:val="ListParagraph"/>
        <w:jc w:val="both"/>
      </w:pPr>
      <w:r>
        <w:t>Other UK cities - £</w:t>
      </w:r>
      <w:r w:rsidR="00563D7B">
        <w:t>8</w:t>
      </w:r>
      <w:r>
        <w:t>5</w:t>
      </w:r>
    </w:p>
    <w:p w14:paraId="7221FB03" w14:textId="77777777" w:rsidR="007773AB" w:rsidRDefault="0090454F" w:rsidP="00837AE7">
      <w:pPr>
        <w:pStyle w:val="ListParagraph"/>
        <w:jc w:val="both"/>
      </w:pPr>
      <w:r>
        <w:t>Other UK locations - £</w:t>
      </w:r>
      <w:r w:rsidR="00563D7B">
        <w:t>7</w:t>
      </w:r>
      <w:r>
        <w:t xml:space="preserve">5 </w:t>
      </w:r>
    </w:p>
    <w:p w14:paraId="1CA790FC" w14:textId="77777777" w:rsidR="00D671A2" w:rsidRDefault="00D671A2" w:rsidP="007773AB">
      <w:pPr>
        <w:pStyle w:val="ListParagraph"/>
        <w:ind w:left="0"/>
        <w:jc w:val="both"/>
      </w:pPr>
    </w:p>
    <w:p w14:paraId="6371E6CA" w14:textId="77777777" w:rsidR="00D671A2" w:rsidRDefault="0090454F" w:rsidP="007773AB">
      <w:pPr>
        <w:pStyle w:val="ListParagraph"/>
        <w:ind w:left="0"/>
        <w:jc w:val="both"/>
      </w:pPr>
      <w:r w:rsidRPr="00D671A2">
        <w:rPr>
          <w:u w:val="single"/>
        </w:rPr>
        <w:t>Travel by Car</w:t>
      </w:r>
      <w:r>
        <w:t xml:space="preserve"> </w:t>
      </w:r>
    </w:p>
    <w:p w14:paraId="23AFCC05" w14:textId="77777777" w:rsidR="00563D7B" w:rsidRDefault="0090454F" w:rsidP="007773AB">
      <w:pPr>
        <w:pStyle w:val="ListParagraph"/>
        <w:ind w:left="0"/>
        <w:jc w:val="both"/>
      </w:pPr>
      <w:r>
        <w:t xml:space="preserve">Employees who use their own car on </w:t>
      </w:r>
      <w:r w:rsidR="00353957">
        <w:t>organisation</w:t>
      </w:r>
      <w:r>
        <w:t xml:space="preserve"> business must ensure that they hold a valid licence for the vehicle driven, the vehicle is taxed and that their insurance cover extends to business use. The </w:t>
      </w:r>
      <w:r w:rsidR="00353957">
        <w:t>Organisation</w:t>
      </w:r>
      <w:r>
        <w:t xml:space="preserve"> reserves the right to inspect the employee’s insurance documentation.</w:t>
      </w:r>
    </w:p>
    <w:p w14:paraId="2A32A03A" w14:textId="77777777" w:rsidR="00563D7B" w:rsidRDefault="00563D7B" w:rsidP="007773AB">
      <w:pPr>
        <w:pStyle w:val="ListParagraph"/>
        <w:ind w:left="0"/>
        <w:jc w:val="both"/>
      </w:pPr>
    </w:p>
    <w:p w14:paraId="7339A4B0" w14:textId="77777777" w:rsidR="00563D7B" w:rsidRDefault="0090454F" w:rsidP="007773AB">
      <w:pPr>
        <w:pStyle w:val="ListParagraph"/>
        <w:ind w:left="0"/>
        <w:jc w:val="both"/>
      </w:pPr>
      <w:r>
        <w:t xml:space="preserve"> In addition, employees who use their car on </w:t>
      </w:r>
      <w:r w:rsidR="00353957">
        <w:t>organisation</w:t>
      </w:r>
      <w:r>
        <w:t xml:space="preserve"> business must ensure that it is regularly maintained and undertake a basic safety check of the vehicle (tyres, windscreen etc.) on a regular basis. Current MOT certificates must be held by the employee. </w:t>
      </w:r>
    </w:p>
    <w:p w14:paraId="056FE90E" w14:textId="77777777" w:rsidR="00563D7B" w:rsidRDefault="00563D7B" w:rsidP="007773AB">
      <w:pPr>
        <w:pStyle w:val="ListParagraph"/>
        <w:ind w:left="0"/>
        <w:jc w:val="both"/>
      </w:pPr>
    </w:p>
    <w:p w14:paraId="314C6DF7" w14:textId="77777777" w:rsidR="00563D7B" w:rsidRDefault="0090454F" w:rsidP="007773AB">
      <w:pPr>
        <w:pStyle w:val="ListParagraph"/>
        <w:ind w:left="0"/>
        <w:jc w:val="both"/>
      </w:pPr>
      <w:r>
        <w:t xml:space="preserve">Full details of each journey, including the date, starting point, destination, mileage claimed and reason for travel should be recorded on the claim form. </w:t>
      </w:r>
    </w:p>
    <w:p w14:paraId="5C237931" w14:textId="77777777" w:rsidR="00563D7B" w:rsidRDefault="00563D7B" w:rsidP="007773AB">
      <w:pPr>
        <w:pStyle w:val="ListParagraph"/>
        <w:ind w:left="0"/>
        <w:jc w:val="both"/>
      </w:pPr>
    </w:p>
    <w:p w14:paraId="57ED2C2F" w14:textId="77777777" w:rsidR="008E7027" w:rsidRDefault="0090454F" w:rsidP="007773AB">
      <w:pPr>
        <w:pStyle w:val="ListParagraph"/>
        <w:ind w:left="0"/>
        <w:jc w:val="both"/>
      </w:pPr>
      <w:r>
        <w:t xml:space="preserve">Subject to the terms above, business travel will be reimbursed at the following rate: </w:t>
      </w:r>
    </w:p>
    <w:p w14:paraId="40C4E9AE" w14:textId="58DA06B7" w:rsidR="008E7027" w:rsidRDefault="0090454F" w:rsidP="008E7027">
      <w:pPr>
        <w:pStyle w:val="ListParagraph"/>
        <w:numPr>
          <w:ilvl w:val="0"/>
          <w:numId w:val="9"/>
        </w:numPr>
        <w:jc w:val="both"/>
      </w:pPr>
      <w:r>
        <w:t xml:space="preserve">Employee’s car </w:t>
      </w:r>
      <w:r w:rsidR="008E7027">
        <w:t xml:space="preserve">- </w:t>
      </w:r>
      <w:r>
        <w:t>4</w:t>
      </w:r>
      <w:r w:rsidR="008E7027">
        <w:t>5</w:t>
      </w:r>
      <w:r>
        <w:t xml:space="preserve">p per mile </w:t>
      </w:r>
      <w:r w:rsidR="005F7412">
        <w:t>for</w:t>
      </w:r>
      <w:r>
        <w:t xml:space="preserve"> the first 10,000 miles </w:t>
      </w:r>
    </w:p>
    <w:p w14:paraId="5D45938C" w14:textId="77777777" w:rsidR="00563D7B" w:rsidRDefault="0090454F" w:rsidP="008E7027">
      <w:pPr>
        <w:pStyle w:val="ListParagraph"/>
        <w:numPr>
          <w:ilvl w:val="0"/>
          <w:numId w:val="9"/>
        </w:numPr>
        <w:jc w:val="both"/>
      </w:pPr>
      <w:r>
        <w:t xml:space="preserve">Employee’s car </w:t>
      </w:r>
      <w:r w:rsidR="008E7027">
        <w:t>30</w:t>
      </w:r>
      <w:r>
        <w:t xml:space="preserve">p per mile Miles over 10,000 </w:t>
      </w:r>
    </w:p>
    <w:p w14:paraId="513A4BCF" w14:textId="77777777" w:rsidR="00563D7B" w:rsidRDefault="00563D7B" w:rsidP="007773AB">
      <w:pPr>
        <w:pStyle w:val="ListParagraph"/>
        <w:ind w:left="0"/>
        <w:jc w:val="both"/>
      </w:pPr>
    </w:p>
    <w:p w14:paraId="447B17E5" w14:textId="77777777" w:rsidR="003E0086" w:rsidRDefault="0090454F" w:rsidP="007773AB">
      <w:pPr>
        <w:pStyle w:val="ListParagraph"/>
        <w:ind w:left="0"/>
        <w:jc w:val="both"/>
      </w:pPr>
      <w:r>
        <w:t xml:space="preserve">A VAT receipt for petrol should be attached to the expense claim to cover the cost of mileage claimed. </w:t>
      </w:r>
    </w:p>
    <w:p w14:paraId="415081E9" w14:textId="77777777" w:rsidR="003E0086" w:rsidRDefault="003E0086" w:rsidP="007773AB">
      <w:pPr>
        <w:pStyle w:val="ListParagraph"/>
        <w:ind w:left="0"/>
        <w:jc w:val="both"/>
      </w:pPr>
    </w:p>
    <w:p w14:paraId="489499B1" w14:textId="77777777" w:rsidR="003E0086" w:rsidRDefault="0090454F" w:rsidP="007773AB">
      <w:pPr>
        <w:pStyle w:val="ListParagraph"/>
        <w:ind w:left="0"/>
        <w:jc w:val="both"/>
      </w:pPr>
      <w:r>
        <w:t xml:space="preserve">Hire cars must be booked via the </w:t>
      </w:r>
      <w:r w:rsidR="008E7027">
        <w:t xml:space="preserve">Head </w:t>
      </w:r>
      <w:r>
        <w:t xml:space="preserve">office </w:t>
      </w:r>
      <w:r w:rsidR="008E7027">
        <w:t>in Wakefield</w:t>
      </w:r>
      <w:r>
        <w:t>. In such circumstances</w:t>
      </w:r>
      <w:r w:rsidR="00583A84">
        <w:t xml:space="preserve">, and when </w:t>
      </w:r>
      <w:r w:rsidR="00353957">
        <w:t>organisation</w:t>
      </w:r>
      <w:r w:rsidR="00583A84">
        <w:t xml:space="preserve"> vehicles are used,</w:t>
      </w:r>
      <w:r>
        <w:t xml:space="preserve"> employees may claim the cost of fuel actually purchased. Employees must ensure that the amount of fuel purchased is appropriate to the journey being undertaken. An appropriate receipt must be obtained for petrol purchased. </w:t>
      </w:r>
    </w:p>
    <w:p w14:paraId="07D8F12C" w14:textId="77777777" w:rsidR="003E0086" w:rsidRDefault="003E0086" w:rsidP="007773AB">
      <w:pPr>
        <w:pStyle w:val="ListParagraph"/>
        <w:ind w:left="0"/>
        <w:jc w:val="both"/>
      </w:pPr>
    </w:p>
    <w:p w14:paraId="28A8DE9B" w14:textId="77777777" w:rsidR="003E0086" w:rsidRDefault="0090454F" w:rsidP="007773AB">
      <w:pPr>
        <w:pStyle w:val="ListParagraph"/>
        <w:ind w:left="0"/>
        <w:jc w:val="both"/>
      </w:pPr>
      <w:r>
        <w:t>Toll charges incurred in relation to business travel may be claimed when supported by a receipt.</w:t>
      </w:r>
    </w:p>
    <w:p w14:paraId="7170ADEE" w14:textId="77777777" w:rsidR="003E0086" w:rsidRDefault="003E0086" w:rsidP="007773AB">
      <w:pPr>
        <w:pStyle w:val="ListParagraph"/>
        <w:ind w:left="0"/>
        <w:jc w:val="both"/>
      </w:pPr>
    </w:p>
    <w:p w14:paraId="0ACD8A8F" w14:textId="77777777" w:rsidR="00D22066" w:rsidRDefault="0090454F" w:rsidP="007773AB">
      <w:pPr>
        <w:pStyle w:val="ListParagraph"/>
        <w:ind w:left="0"/>
        <w:jc w:val="both"/>
      </w:pPr>
      <w:r>
        <w:t xml:space="preserve">The </w:t>
      </w:r>
      <w:r w:rsidR="00353957">
        <w:t>organisation</w:t>
      </w:r>
      <w:r>
        <w:t xml:space="preserve"> will reimburse parking costs for business travel away from home and the employee’s normal place of work when supported by a receipt/ticket. Where the </w:t>
      </w:r>
      <w:r w:rsidR="00353957">
        <w:t>Organisation</w:t>
      </w:r>
      <w:r>
        <w:t xml:space="preserve"> has negotiated discount parking at regularly visited venues, employees are required to use this parking facility.</w:t>
      </w:r>
    </w:p>
    <w:p w14:paraId="0A49569C" w14:textId="77777777" w:rsidR="00D22066" w:rsidRDefault="00D22066" w:rsidP="0090454F">
      <w:pPr>
        <w:pStyle w:val="ListParagraph"/>
        <w:ind w:left="0"/>
        <w:jc w:val="both"/>
      </w:pPr>
    </w:p>
    <w:p w14:paraId="3A8C5D2A" w14:textId="77777777" w:rsidR="00D22066" w:rsidRDefault="00D22066" w:rsidP="0090454F">
      <w:pPr>
        <w:pStyle w:val="ListParagraph"/>
        <w:ind w:left="0"/>
        <w:jc w:val="both"/>
        <w:rPr>
          <w:b/>
          <w:bCs/>
        </w:rPr>
      </w:pPr>
    </w:p>
    <w:p w14:paraId="35DEDA77" w14:textId="77777777" w:rsidR="00D22066" w:rsidRPr="00D20281" w:rsidRDefault="0090454F" w:rsidP="0090454F">
      <w:pPr>
        <w:pStyle w:val="ListParagraph"/>
        <w:ind w:left="0"/>
        <w:jc w:val="both"/>
        <w:rPr>
          <w:b/>
          <w:bCs/>
        </w:rPr>
      </w:pPr>
      <w:r w:rsidRPr="00D20281">
        <w:rPr>
          <w:b/>
          <w:bCs/>
        </w:rPr>
        <w:t xml:space="preserve">Subsistence/Meals </w:t>
      </w:r>
    </w:p>
    <w:p w14:paraId="416FE8A3" w14:textId="77777777" w:rsidR="00583A84" w:rsidRDefault="0090454F" w:rsidP="0090454F">
      <w:pPr>
        <w:pStyle w:val="ListParagraph"/>
        <w:ind w:left="0"/>
        <w:jc w:val="both"/>
      </w:pPr>
      <w:r>
        <w:t>Employees may claim the reasonable costs of meals taken in the course of business travel</w:t>
      </w:r>
      <w:r w:rsidR="00583A84">
        <w:t xml:space="preserve">, where it </w:t>
      </w:r>
      <w:r w:rsidR="00EE5D01">
        <w:t xml:space="preserve">has </w:t>
      </w:r>
      <w:r w:rsidR="00583A84">
        <w:t xml:space="preserve">not </w:t>
      </w:r>
      <w:r w:rsidR="00EE5D01">
        <w:t xml:space="preserve">been </w:t>
      </w:r>
      <w:r w:rsidR="00583A84">
        <w:t xml:space="preserve">possible to eat in one of the organisation’s establishments, </w:t>
      </w:r>
      <w:r>
        <w:t xml:space="preserve">in line </w:t>
      </w:r>
      <w:r w:rsidR="00583A84">
        <w:t xml:space="preserve">with </w:t>
      </w:r>
      <w:r>
        <w:t xml:space="preserve">the following guidelines: </w:t>
      </w:r>
    </w:p>
    <w:p w14:paraId="7D3C9425" w14:textId="77777777" w:rsidR="00583A84" w:rsidRDefault="0090454F" w:rsidP="00583A84">
      <w:pPr>
        <w:pStyle w:val="ListParagraph"/>
        <w:numPr>
          <w:ilvl w:val="0"/>
          <w:numId w:val="10"/>
        </w:numPr>
        <w:jc w:val="both"/>
      </w:pPr>
      <w:r>
        <w:t>Dinner: The reasonable cost of food and non-alcoholic drink to a limit of £20 (supported by receipts)</w:t>
      </w:r>
    </w:p>
    <w:p w14:paraId="180C54F7" w14:textId="77777777" w:rsidR="00583A84" w:rsidRDefault="0090454F" w:rsidP="00583A84">
      <w:pPr>
        <w:pStyle w:val="ListParagraph"/>
        <w:numPr>
          <w:ilvl w:val="0"/>
          <w:numId w:val="10"/>
        </w:numPr>
        <w:jc w:val="both"/>
      </w:pPr>
      <w:r>
        <w:t>Lunch: The reasonable cost of food and non-alcoholic drink to a limit of £7, only if 50 miles or more from home (supported by receipts)</w:t>
      </w:r>
    </w:p>
    <w:p w14:paraId="2C245595" w14:textId="77777777" w:rsidR="00D22066" w:rsidRDefault="0090454F" w:rsidP="00583A84">
      <w:pPr>
        <w:pStyle w:val="ListParagraph"/>
        <w:numPr>
          <w:ilvl w:val="0"/>
          <w:numId w:val="10"/>
        </w:numPr>
        <w:jc w:val="both"/>
      </w:pPr>
      <w:r>
        <w:t>Breakfast: The reasonable cost of food and non-alcoholic drink to a limit of £7, only if 50 miles or more from home before 9.00 am (supported by receipts) Claims may not be made in respect of conferences or visits where meals are provided as part of the conference or visit. In some circumstances a</w:t>
      </w:r>
      <w:r w:rsidR="00EE5D01">
        <w:t>n operations managers</w:t>
      </w:r>
      <w:r>
        <w:t xml:space="preserve"> may approve a higher rate than above prior to the event. </w:t>
      </w:r>
    </w:p>
    <w:p w14:paraId="08F40468" w14:textId="77777777" w:rsidR="00D22066" w:rsidRDefault="00D22066" w:rsidP="0090454F">
      <w:pPr>
        <w:pStyle w:val="ListParagraph"/>
        <w:ind w:left="0"/>
        <w:jc w:val="both"/>
      </w:pPr>
    </w:p>
    <w:p w14:paraId="1459C401" w14:textId="77777777" w:rsidR="00D22066" w:rsidRDefault="0090454F" w:rsidP="0090454F">
      <w:pPr>
        <w:pStyle w:val="ListParagraph"/>
        <w:ind w:left="0"/>
        <w:jc w:val="both"/>
      </w:pPr>
      <w:r w:rsidRPr="00D22066">
        <w:rPr>
          <w:b/>
          <w:bCs/>
        </w:rPr>
        <w:t>Hospitality and Entertaining</w:t>
      </w:r>
      <w:r>
        <w:t xml:space="preserve"> </w:t>
      </w:r>
    </w:p>
    <w:p w14:paraId="52C11302" w14:textId="77777777" w:rsidR="00DA6D90" w:rsidRDefault="0090454F" w:rsidP="0090454F">
      <w:pPr>
        <w:pStyle w:val="ListParagraph"/>
        <w:ind w:left="0"/>
        <w:jc w:val="both"/>
      </w:pPr>
      <w:r>
        <w:t>Business entertainment must only be undertaken with the prior approval of a</w:t>
      </w:r>
      <w:r w:rsidR="00EE5D01">
        <w:t>n operations manager</w:t>
      </w:r>
      <w:r>
        <w:t>. The following information must be shown on the expense claim form and accompanied by the relevant receipt:</w:t>
      </w:r>
    </w:p>
    <w:p w14:paraId="540319DA" w14:textId="77777777" w:rsidR="00DA6D90" w:rsidRDefault="0090454F" w:rsidP="00DA6D90">
      <w:pPr>
        <w:pStyle w:val="ListParagraph"/>
        <w:numPr>
          <w:ilvl w:val="0"/>
          <w:numId w:val="11"/>
        </w:numPr>
        <w:jc w:val="both"/>
      </w:pPr>
      <w:r>
        <w:t xml:space="preserve">Name of attendees </w:t>
      </w:r>
    </w:p>
    <w:p w14:paraId="1603B024" w14:textId="77777777" w:rsidR="00DA6D90" w:rsidRDefault="00DA6D90" w:rsidP="00DA6D90">
      <w:pPr>
        <w:pStyle w:val="ListParagraph"/>
        <w:numPr>
          <w:ilvl w:val="0"/>
          <w:numId w:val="11"/>
        </w:numPr>
        <w:jc w:val="both"/>
      </w:pPr>
      <w:r>
        <w:t>Organisation’s</w:t>
      </w:r>
      <w:r w:rsidR="0090454F">
        <w:t xml:space="preserve"> attendees represent</w:t>
      </w:r>
    </w:p>
    <w:p w14:paraId="268916CB" w14:textId="77777777" w:rsidR="00D22066" w:rsidRDefault="0090454F" w:rsidP="00DA6D90">
      <w:pPr>
        <w:pStyle w:val="ListParagraph"/>
        <w:numPr>
          <w:ilvl w:val="0"/>
          <w:numId w:val="11"/>
        </w:numPr>
        <w:jc w:val="both"/>
      </w:pPr>
      <w:r>
        <w:t>Purpose of entertainment</w:t>
      </w:r>
    </w:p>
    <w:p w14:paraId="743C28AF" w14:textId="77777777" w:rsidR="00D22066" w:rsidRDefault="00D22066" w:rsidP="0090454F">
      <w:pPr>
        <w:pStyle w:val="ListParagraph"/>
        <w:ind w:left="0"/>
        <w:jc w:val="both"/>
      </w:pPr>
    </w:p>
    <w:p w14:paraId="42F1B198" w14:textId="77777777" w:rsidR="00D22066" w:rsidRDefault="0090454F" w:rsidP="0090454F">
      <w:pPr>
        <w:pStyle w:val="ListParagraph"/>
        <w:ind w:left="0"/>
        <w:jc w:val="both"/>
      </w:pPr>
      <w:r w:rsidRPr="00D22066">
        <w:rPr>
          <w:b/>
          <w:bCs/>
        </w:rPr>
        <w:t>Home and Mobile Telephone Calls</w:t>
      </w:r>
      <w:r>
        <w:t xml:space="preserve"> </w:t>
      </w:r>
    </w:p>
    <w:p w14:paraId="4D36DCF9" w14:textId="08320033" w:rsidR="00DA6D90" w:rsidRDefault="0090454F" w:rsidP="0090454F">
      <w:pPr>
        <w:pStyle w:val="ListParagraph"/>
        <w:ind w:left="0"/>
        <w:jc w:val="both"/>
      </w:pPr>
      <w:r>
        <w:t xml:space="preserve">Any employees who are required to make business calls using their home telephone should claim reimbursement of such call costs, by entering the amount to be claimed on their expense claim form. </w:t>
      </w:r>
      <w:bookmarkStart w:id="3" w:name="_Hlk91244793"/>
      <w:r w:rsidR="005B408D">
        <w:t xml:space="preserve">This should be accompanied with a copy of the </w:t>
      </w:r>
      <w:r w:rsidR="005F7412">
        <w:t>employee’s</w:t>
      </w:r>
      <w:r w:rsidR="005B408D">
        <w:t xml:space="preserve"> monthly phone bill indicating the call charge. </w:t>
      </w:r>
      <w:bookmarkEnd w:id="3"/>
    </w:p>
    <w:p w14:paraId="4CC8249B" w14:textId="77777777" w:rsidR="00DA6D90" w:rsidRDefault="00DA6D90" w:rsidP="0090454F">
      <w:pPr>
        <w:pStyle w:val="ListParagraph"/>
        <w:ind w:left="0"/>
        <w:jc w:val="both"/>
      </w:pPr>
    </w:p>
    <w:p w14:paraId="35313A95" w14:textId="77777777" w:rsidR="00D22066" w:rsidRDefault="0090454F" w:rsidP="0090454F">
      <w:pPr>
        <w:pStyle w:val="ListParagraph"/>
        <w:ind w:left="0"/>
        <w:jc w:val="both"/>
      </w:pPr>
      <w:r>
        <w:t xml:space="preserve">Employees using mobile phones to make business calls should claim reimbursement of such calls, or indicate a fair percentage value to cover business calls, by entering the amount to be claimed on their expense claim form. </w:t>
      </w:r>
      <w:r w:rsidR="005B408D">
        <w:t>This should be accompanied with a copy of the employees monthly mobile phone bill indicating the call charge.</w:t>
      </w:r>
    </w:p>
    <w:p w14:paraId="4476B53C" w14:textId="77777777" w:rsidR="006A07C7" w:rsidRDefault="006A07C7" w:rsidP="0090454F">
      <w:pPr>
        <w:pStyle w:val="ListParagraph"/>
        <w:ind w:left="0"/>
        <w:jc w:val="both"/>
      </w:pPr>
    </w:p>
    <w:p w14:paraId="141BC23B" w14:textId="77777777" w:rsidR="006A07C7" w:rsidRDefault="006A07C7" w:rsidP="0090454F">
      <w:pPr>
        <w:pStyle w:val="ListParagraph"/>
        <w:ind w:left="0"/>
        <w:jc w:val="both"/>
      </w:pPr>
    </w:p>
    <w:p w14:paraId="3CA12BAA" w14:textId="77777777" w:rsidR="00D22066" w:rsidRDefault="00D22066" w:rsidP="0090454F">
      <w:pPr>
        <w:pStyle w:val="ListParagraph"/>
        <w:ind w:left="0"/>
        <w:jc w:val="both"/>
      </w:pPr>
    </w:p>
    <w:p w14:paraId="3956FCFF" w14:textId="77777777" w:rsidR="005F7412" w:rsidRDefault="005F7412" w:rsidP="0090454F">
      <w:pPr>
        <w:pStyle w:val="ListParagraph"/>
        <w:ind w:left="0"/>
        <w:jc w:val="both"/>
        <w:rPr>
          <w:b/>
          <w:bCs/>
        </w:rPr>
      </w:pPr>
    </w:p>
    <w:p w14:paraId="0E14E1D1" w14:textId="087987AF" w:rsidR="00D22066" w:rsidRDefault="0090454F" w:rsidP="0090454F">
      <w:pPr>
        <w:pStyle w:val="ListParagraph"/>
        <w:ind w:left="0"/>
        <w:jc w:val="both"/>
      </w:pPr>
      <w:r w:rsidRPr="00D22066">
        <w:rPr>
          <w:b/>
          <w:bCs/>
        </w:rPr>
        <w:lastRenderedPageBreak/>
        <w:t>Business Subscriptions</w:t>
      </w:r>
      <w:r>
        <w:t xml:space="preserve"> </w:t>
      </w:r>
    </w:p>
    <w:p w14:paraId="5227C639" w14:textId="708DBC31" w:rsidR="00D22066" w:rsidRDefault="0090454F" w:rsidP="0090454F">
      <w:pPr>
        <w:pStyle w:val="ListParagraph"/>
        <w:ind w:left="0"/>
        <w:jc w:val="both"/>
      </w:pPr>
      <w:r>
        <w:t xml:space="preserve">Allowable subscriptions to professional bodies, associations, networking groups etc. will be paid directly by the </w:t>
      </w:r>
      <w:r w:rsidR="00353957">
        <w:t>Organisation</w:t>
      </w:r>
      <w:r w:rsidR="005B408D">
        <w:t xml:space="preserve"> with agreement from the </w:t>
      </w:r>
      <w:r w:rsidR="00A2227E">
        <w:t>operations</w:t>
      </w:r>
      <w:r w:rsidR="005B408D">
        <w:t xml:space="preserve"> manager</w:t>
      </w:r>
      <w:r>
        <w:t xml:space="preserve">. However, should the employee leave the </w:t>
      </w:r>
      <w:r w:rsidR="00353957">
        <w:t>organisation</w:t>
      </w:r>
      <w:r>
        <w:t xml:space="preserve">, then the </w:t>
      </w:r>
      <w:r w:rsidR="00353957">
        <w:t>organisation</w:t>
      </w:r>
      <w:r>
        <w:t xml:space="preserve"> at its discretion </w:t>
      </w:r>
      <w:r w:rsidR="005F7412">
        <w:t xml:space="preserve">will </w:t>
      </w:r>
      <w:r>
        <w:t xml:space="preserve">make arrangements to be reimbursed for any pro rata fees. </w:t>
      </w:r>
    </w:p>
    <w:p w14:paraId="5AEC547E" w14:textId="77777777" w:rsidR="00D22066" w:rsidRDefault="00D22066" w:rsidP="0090454F">
      <w:pPr>
        <w:pStyle w:val="ListParagraph"/>
        <w:ind w:left="0"/>
        <w:jc w:val="both"/>
      </w:pPr>
    </w:p>
    <w:p w14:paraId="3772532B" w14:textId="77777777" w:rsidR="00D22066" w:rsidRDefault="0090454F" w:rsidP="0090454F">
      <w:pPr>
        <w:pStyle w:val="ListParagraph"/>
        <w:ind w:left="0"/>
        <w:jc w:val="both"/>
      </w:pPr>
      <w:r w:rsidRPr="00D22066">
        <w:rPr>
          <w:b/>
          <w:bCs/>
        </w:rPr>
        <w:t>Non–Allowable Expenditure</w:t>
      </w:r>
      <w:r>
        <w:t xml:space="preserve"> </w:t>
      </w:r>
    </w:p>
    <w:p w14:paraId="37ED79F4" w14:textId="77777777" w:rsidR="00353957" w:rsidRDefault="0090454F" w:rsidP="00353957">
      <w:pPr>
        <w:pStyle w:val="ListParagraph"/>
        <w:ind w:left="0"/>
        <w:jc w:val="both"/>
      </w:pPr>
      <w:r>
        <w:t xml:space="preserve">Non-allowable expenditure as detailed below may not be claimed, charged to the </w:t>
      </w:r>
      <w:r w:rsidR="00353957">
        <w:t>organisation</w:t>
      </w:r>
      <w:r>
        <w:t xml:space="preserve"> or reimbursed to employees in any circumstances or by any method. </w:t>
      </w:r>
    </w:p>
    <w:p w14:paraId="2C6C5D9C" w14:textId="77777777" w:rsidR="00353957" w:rsidRDefault="0090454F" w:rsidP="00353957">
      <w:pPr>
        <w:pStyle w:val="ListParagraph"/>
        <w:numPr>
          <w:ilvl w:val="0"/>
          <w:numId w:val="14"/>
        </w:numPr>
        <w:jc w:val="both"/>
      </w:pPr>
      <w:r>
        <w:t>Alcoholic drinks – unless while entertaining when costs should be kept to a reasonable level and approved by a</w:t>
      </w:r>
      <w:r w:rsidR="00D22066">
        <w:t>n</w:t>
      </w:r>
      <w:r>
        <w:t xml:space="preserve"> </w:t>
      </w:r>
      <w:r w:rsidR="00353957">
        <w:t>operations</w:t>
      </w:r>
      <w:r w:rsidR="00D22066">
        <w:t xml:space="preserve"> manager or more senior manager </w:t>
      </w:r>
      <w:r>
        <w:t xml:space="preserve">prior to the event </w:t>
      </w:r>
    </w:p>
    <w:p w14:paraId="544FE696" w14:textId="4F0DE93C" w:rsidR="00353957" w:rsidRDefault="0090454F" w:rsidP="00353957">
      <w:pPr>
        <w:pStyle w:val="ListParagraph"/>
        <w:numPr>
          <w:ilvl w:val="0"/>
          <w:numId w:val="12"/>
        </w:numPr>
        <w:jc w:val="both"/>
      </w:pPr>
      <w:r>
        <w:t xml:space="preserve">Miscellaneous hotel charges </w:t>
      </w:r>
      <w:r w:rsidR="005F7412">
        <w:t>i.e.,</w:t>
      </w:r>
      <w:r>
        <w:t xml:space="preserve"> mini bar, alcoholic drinks and snacks, video/TV charges</w:t>
      </w:r>
    </w:p>
    <w:p w14:paraId="184DFC2F" w14:textId="77777777" w:rsidR="00353957" w:rsidRDefault="0090454F" w:rsidP="00353957">
      <w:pPr>
        <w:pStyle w:val="ListParagraph"/>
        <w:numPr>
          <w:ilvl w:val="0"/>
          <w:numId w:val="12"/>
        </w:numPr>
        <w:jc w:val="both"/>
      </w:pPr>
      <w:r>
        <w:t xml:space="preserve">Parking fines </w:t>
      </w:r>
    </w:p>
    <w:p w14:paraId="02D05BF0" w14:textId="77777777" w:rsidR="00353957" w:rsidRDefault="00353957" w:rsidP="00353957">
      <w:pPr>
        <w:pStyle w:val="ListParagraph"/>
        <w:numPr>
          <w:ilvl w:val="0"/>
          <w:numId w:val="12"/>
        </w:numPr>
        <w:jc w:val="both"/>
      </w:pPr>
      <w:r>
        <w:t>C</w:t>
      </w:r>
      <w:r w:rsidR="0090454F">
        <w:t xml:space="preserve">ar repairs </w:t>
      </w:r>
    </w:p>
    <w:p w14:paraId="0E63B6E5" w14:textId="77777777" w:rsidR="003F2F55" w:rsidRPr="003F2F55" w:rsidRDefault="0090454F" w:rsidP="00353957">
      <w:pPr>
        <w:pStyle w:val="ListParagraph"/>
        <w:numPr>
          <w:ilvl w:val="0"/>
          <w:numId w:val="12"/>
        </w:numPr>
        <w:jc w:val="both"/>
      </w:pPr>
      <w:r>
        <w:t>Credit card interest charges</w:t>
      </w:r>
    </w:p>
    <w:sectPr w:rsidR="003F2F55" w:rsidRPr="003F2F55" w:rsidSect="00090D61">
      <w:headerReference w:type="default" r:id="rId8"/>
      <w:footerReference w:type="default" r:id="rId9"/>
      <w:pgSz w:w="11906" w:h="16838"/>
      <w:pgMar w:top="1440" w:right="1440" w:bottom="1440" w:left="1440"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67D67" w14:textId="77777777" w:rsidR="00090D61" w:rsidRDefault="00090D61" w:rsidP="00FC548E">
      <w:pPr>
        <w:spacing w:after="0" w:line="240" w:lineRule="auto"/>
      </w:pPr>
      <w:r>
        <w:separator/>
      </w:r>
    </w:p>
  </w:endnote>
  <w:endnote w:type="continuationSeparator" w:id="0">
    <w:p w14:paraId="35895225" w14:textId="77777777" w:rsidR="00090D61" w:rsidRDefault="00090D61" w:rsidP="00FC5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CenturySchlbk">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5DC23" w14:textId="5C6E2D44" w:rsidR="00EA41E6" w:rsidRDefault="006A07C7">
    <w:pPr>
      <w:pStyle w:val="Footer"/>
    </w:pPr>
    <w:r>
      <w:rPr>
        <w:noProof/>
      </w:rPr>
      <w:drawing>
        <wp:inline distT="0" distB="0" distL="0" distR="0" wp14:anchorId="09CB6CFD" wp14:editId="363F6E40">
          <wp:extent cx="5731510" cy="979328"/>
          <wp:effectExtent l="0" t="0" r="2540" b="0"/>
          <wp:docPr id="411351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351743" name=""/>
                  <pic:cNvPicPr/>
                </pic:nvPicPr>
                <pic:blipFill>
                  <a:blip r:embed="rId1"/>
                  <a:stretch>
                    <a:fillRect/>
                  </a:stretch>
                </pic:blipFill>
                <pic:spPr>
                  <a:xfrm>
                    <a:off x="0" y="0"/>
                    <a:ext cx="5731510" cy="9793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17BC5" w14:textId="77777777" w:rsidR="00090D61" w:rsidRDefault="00090D61" w:rsidP="00FC548E">
      <w:pPr>
        <w:spacing w:after="0" w:line="240" w:lineRule="auto"/>
      </w:pPr>
      <w:r>
        <w:separator/>
      </w:r>
    </w:p>
  </w:footnote>
  <w:footnote w:type="continuationSeparator" w:id="0">
    <w:p w14:paraId="741DD46A" w14:textId="77777777" w:rsidR="00090D61" w:rsidRDefault="00090D61" w:rsidP="00FC5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2BE7C" w14:textId="77777777" w:rsidR="00EA41E6" w:rsidRPr="001E292E" w:rsidRDefault="0090454F" w:rsidP="001E292E">
    <w:pPr>
      <w:pStyle w:val="Header"/>
      <w:jc w:val="center"/>
      <w:rPr>
        <w:sz w:val="40"/>
        <w:szCs w:val="40"/>
        <w:lang w:val="en-US"/>
      </w:rPr>
    </w:pPr>
    <w:r>
      <w:rPr>
        <w:sz w:val="40"/>
        <w:szCs w:val="40"/>
        <w:lang w:val="en-US"/>
      </w:rPr>
      <w:t>Expenses</w:t>
    </w:r>
    <w:r w:rsidR="001E292E">
      <w:rPr>
        <w:sz w:val="40"/>
        <w:szCs w:val="40"/>
        <w:lang w:val="en-US"/>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C347A"/>
    <w:multiLevelType w:val="hybridMultilevel"/>
    <w:tmpl w:val="C5863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16F3F"/>
    <w:multiLevelType w:val="hybridMultilevel"/>
    <w:tmpl w:val="1F149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173681"/>
    <w:multiLevelType w:val="hybridMultilevel"/>
    <w:tmpl w:val="49D036FC"/>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 w15:restartNumberingAfterBreak="0">
    <w:nsid w:val="1FF47E0B"/>
    <w:multiLevelType w:val="hybridMultilevel"/>
    <w:tmpl w:val="82882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9069B"/>
    <w:multiLevelType w:val="hybridMultilevel"/>
    <w:tmpl w:val="2988B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F3D6A"/>
    <w:multiLevelType w:val="hybridMultilevel"/>
    <w:tmpl w:val="B8922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C3793F"/>
    <w:multiLevelType w:val="hybridMultilevel"/>
    <w:tmpl w:val="89CCE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A42CBF"/>
    <w:multiLevelType w:val="hybridMultilevel"/>
    <w:tmpl w:val="9738C778"/>
    <w:lvl w:ilvl="0" w:tplc="6EBC8B9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5948C7"/>
    <w:multiLevelType w:val="hybridMultilevel"/>
    <w:tmpl w:val="7618F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CA57BB"/>
    <w:multiLevelType w:val="hybridMultilevel"/>
    <w:tmpl w:val="D250E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9F2A44"/>
    <w:multiLevelType w:val="hybridMultilevel"/>
    <w:tmpl w:val="7160F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F74875"/>
    <w:multiLevelType w:val="hybridMultilevel"/>
    <w:tmpl w:val="DEFC1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E029DE"/>
    <w:multiLevelType w:val="hybridMultilevel"/>
    <w:tmpl w:val="DE90E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7572BC"/>
    <w:multiLevelType w:val="hybridMultilevel"/>
    <w:tmpl w:val="CBE83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8627A7"/>
    <w:multiLevelType w:val="hybridMultilevel"/>
    <w:tmpl w:val="DE7E1854"/>
    <w:name w:val="main_list"/>
    <w:lvl w:ilvl="0" w:tplc="FFFFFFFF">
      <w:start w:val="1"/>
      <w:numFmt w:val="bullet"/>
      <w:lvlText w:val=""/>
      <w:lvlJc w:val="left"/>
      <w:pPr>
        <w:ind w:left="15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707920233">
    <w:abstractNumId w:val="10"/>
  </w:num>
  <w:num w:numId="2" w16cid:durableId="2096048539">
    <w:abstractNumId w:val="8"/>
  </w:num>
  <w:num w:numId="3" w16cid:durableId="443043117">
    <w:abstractNumId w:val="2"/>
  </w:num>
  <w:num w:numId="4" w16cid:durableId="1624848358">
    <w:abstractNumId w:val="7"/>
  </w:num>
  <w:num w:numId="5" w16cid:durableId="2142380336">
    <w:abstractNumId w:val="9"/>
  </w:num>
  <w:num w:numId="6" w16cid:durableId="336542960">
    <w:abstractNumId w:val="1"/>
  </w:num>
  <w:num w:numId="7" w16cid:durableId="526986887">
    <w:abstractNumId w:val="3"/>
  </w:num>
  <w:num w:numId="8" w16cid:durableId="485437776">
    <w:abstractNumId w:val="5"/>
  </w:num>
  <w:num w:numId="9" w16cid:durableId="73478412">
    <w:abstractNumId w:val="4"/>
  </w:num>
  <w:num w:numId="10" w16cid:durableId="2028485432">
    <w:abstractNumId w:val="13"/>
  </w:num>
  <w:num w:numId="11" w16cid:durableId="7953655">
    <w:abstractNumId w:val="6"/>
  </w:num>
  <w:num w:numId="12" w16cid:durableId="1083139273">
    <w:abstractNumId w:val="12"/>
  </w:num>
  <w:num w:numId="13" w16cid:durableId="1433552050">
    <w:abstractNumId w:val="11"/>
  </w:num>
  <w:num w:numId="14" w16cid:durableId="53099697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AF"/>
    <w:rsid w:val="00006B59"/>
    <w:rsid w:val="00012F35"/>
    <w:rsid w:val="00012F97"/>
    <w:rsid w:val="000165E4"/>
    <w:rsid w:val="00025A91"/>
    <w:rsid w:val="00025FDF"/>
    <w:rsid w:val="00026502"/>
    <w:rsid w:val="000365AD"/>
    <w:rsid w:val="000420E4"/>
    <w:rsid w:val="0004284C"/>
    <w:rsid w:val="0004525E"/>
    <w:rsid w:val="00045B21"/>
    <w:rsid w:val="00050F9B"/>
    <w:rsid w:val="0005303B"/>
    <w:rsid w:val="000539E7"/>
    <w:rsid w:val="00054C86"/>
    <w:rsid w:val="000668A9"/>
    <w:rsid w:val="00071799"/>
    <w:rsid w:val="000739B9"/>
    <w:rsid w:val="00074096"/>
    <w:rsid w:val="000750C8"/>
    <w:rsid w:val="000831BB"/>
    <w:rsid w:val="00086401"/>
    <w:rsid w:val="00086D65"/>
    <w:rsid w:val="00086D76"/>
    <w:rsid w:val="00086DB8"/>
    <w:rsid w:val="00086E8A"/>
    <w:rsid w:val="00090D61"/>
    <w:rsid w:val="00091F50"/>
    <w:rsid w:val="0009213A"/>
    <w:rsid w:val="000932E5"/>
    <w:rsid w:val="0009374D"/>
    <w:rsid w:val="000A2968"/>
    <w:rsid w:val="000A73A7"/>
    <w:rsid w:val="000B20C4"/>
    <w:rsid w:val="000B5A60"/>
    <w:rsid w:val="000C31C2"/>
    <w:rsid w:val="000C3EF5"/>
    <w:rsid w:val="000C46F1"/>
    <w:rsid w:val="000C596B"/>
    <w:rsid w:val="000C5D62"/>
    <w:rsid w:val="000C6B73"/>
    <w:rsid w:val="000D086A"/>
    <w:rsid w:val="000D2C89"/>
    <w:rsid w:val="000D3946"/>
    <w:rsid w:val="000D4E18"/>
    <w:rsid w:val="000E2DF8"/>
    <w:rsid w:val="000E4DD0"/>
    <w:rsid w:val="000E70D0"/>
    <w:rsid w:val="000F1BC1"/>
    <w:rsid w:val="000F21B9"/>
    <w:rsid w:val="000F3D32"/>
    <w:rsid w:val="000F4546"/>
    <w:rsid w:val="000F5238"/>
    <w:rsid w:val="00100530"/>
    <w:rsid w:val="00107BBB"/>
    <w:rsid w:val="001110FF"/>
    <w:rsid w:val="00111549"/>
    <w:rsid w:val="00115CC4"/>
    <w:rsid w:val="00122E5C"/>
    <w:rsid w:val="00125BEE"/>
    <w:rsid w:val="0012613A"/>
    <w:rsid w:val="001324AD"/>
    <w:rsid w:val="00132883"/>
    <w:rsid w:val="00132EF4"/>
    <w:rsid w:val="00134788"/>
    <w:rsid w:val="00136269"/>
    <w:rsid w:val="00136F1F"/>
    <w:rsid w:val="00141CC7"/>
    <w:rsid w:val="00143403"/>
    <w:rsid w:val="0014504C"/>
    <w:rsid w:val="00146AD7"/>
    <w:rsid w:val="00154469"/>
    <w:rsid w:val="00154C6B"/>
    <w:rsid w:val="0015672D"/>
    <w:rsid w:val="001611DF"/>
    <w:rsid w:val="00165D54"/>
    <w:rsid w:val="00171BB1"/>
    <w:rsid w:val="00171C7D"/>
    <w:rsid w:val="00173AE2"/>
    <w:rsid w:val="001804D6"/>
    <w:rsid w:val="00180E9F"/>
    <w:rsid w:val="00181464"/>
    <w:rsid w:val="00185C8C"/>
    <w:rsid w:val="00186D89"/>
    <w:rsid w:val="001879E5"/>
    <w:rsid w:val="001900E6"/>
    <w:rsid w:val="00193D02"/>
    <w:rsid w:val="00194CC3"/>
    <w:rsid w:val="00195B6D"/>
    <w:rsid w:val="001A0C15"/>
    <w:rsid w:val="001A4BA2"/>
    <w:rsid w:val="001A7B36"/>
    <w:rsid w:val="001B102B"/>
    <w:rsid w:val="001B1FD7"/>
    <w:rsid w:val="001B261F"/>
    <w:rsid w:val="001B2EB8"/>
    <w:rsid w:val="001B43D2"/>
    <w:rsid w:val="001B6EBF"/>
    <w:rsid w:val="001B76A6"/>
    <w:rsid w:val="001B773C"/>
    <w:rsid w:val="001B7F82"/>
    <w:rsid w:val="001C198B"/>
    <w:rsid w:val="001C27F3"/>
    <w:rsid w:val="001C3593"/>
    <w:rsid w:val="001C3FD1"/>
    <w:rsid w:val="001C556E"/>
    <w:rsid w:val="001D2AE8"/>
    <w:rsid w:val="001D6BF5"/>
    <w:rsid w:val="001E292E"/>
    <w:rsid w:val="001E5F49"/>
    <w:rsid w:val="001E6BA9"/>
    <w:rsid w:val="001F6115"/>
    <w:rsid w:val="001F7395"/>
    <w:rsid w:val="002071FE"/>
    <w:rsid w:val="00210279"/>
    <w:rsid w:val="002110FA"/>
    <w:rsid w:val="00211FCB"/>
    <w:rsid w:val="00215FC9"/>
    <w:rsid w:val="00217F9A"/>
    <w:rsid w:val="00217FD1"/>
    <w:rsid w:val="00223BFB"/>
    <w:rsid w:val="00227094"/>
    <w:rsid w:val="00231E32"/>
    <w:rsid w:val="00235834"/>
    <w:rsid w:val="0024138F"/>
    <w:rsid w:val="00244625"/>
    <w:rsid w:val="00247F8A"/>
    <w:rsid w:val="00252AC0"/>
    <w:rsid w:val="00261FB6"/>
    <w:rsid w:val="00265FFC"/>
    <w:rsid w:val="00266F63"/>
    <w:rsid w:val="00274F98"/>
    <w:rsid w:val="00275882"/>
    <w:rsid w:val="00280678"/>
    <w:rsid w:val="002812D5"/>
    <w:rsid w:val="0028750C"/>
    <w:rsid w:val="002876D4"/>
    <w:rsid w:val="00292BF9"/>
    <w:rsid w:val="0029636A"/>
    <w:rsid w:val="002A08BA"/>
    <w:rsid w:val="002A30BE"/>
    <w:rsid w:val="002A45AB"/>
    <w:rsid w:val="002A7F34"/>
    <w:rsid w:val="002B160D"/>
    <w:rsid w:val="002B2419"/>
    <w:rsid w:val="002B3E2D"/>
    <w:rsid w:val="002B4374"/>
    <w:rsid w:val="002B5691"/>
    <w:rsid w:val="002C200F"/>
    <w:rsid w:val="002C2563"/>
    <w:rsid w:val="002C3D3F"/>
    <w:rsid w:val="002C7DD3"/>
    <w:rsid w:val="002D0155"/>
    <w:rsid w:val="002D0A43"/>
    <w:rsid w:val="002D55E8"/>
    <w:rsid w:val="002E1B1E"/>
    <w:rsid w:val="002E2CB8"/>
    <w:rsid w:val="002E4D0E"/>
    <w:rsid w:val="002E4E7B"/>
    <w:rsid w:val="002F14F3"/>
    <w:rsid w:val="002F2680"/>
    <w:rsid w:val="002F2A66"/>
    <w:rsid w:val="002F5604"/>
    <w:rsid w:val="002F651A"/>
    <w:rsid w:val="003026B3"/>
    <w:rsid w:val="00303B6E"/>
    <w:rsid w:val="003047B8"/>
    <w:rsid w:val="00304D03"/>
    <w:rsid w:val="00310D18"/>
    <w:rsid w:val="00312553"/>
    <w:rsid w:val="0031322F"/>
    <w:rsid w:val="003254D5"/>
    <w:rsid w:val="003327FC"/>
    <w:rsid w:val="00333993"/>
    <w:rsid w:val="00333C7A"/>
    <w:rsid w:val="00333F9A"/>
    <w:rsid w:val="00342562"/>
    <w:rsid w:val="0034502B"/>
    <w:rsid w:val="00346ECC"/>
    <w:rsid w:val="00351540"/>
    <w:rsid w:val="003515C8"/>
    <w:rsid w:val="00353957"/>
    <w:rsid w:val="00360D70"/>
    <w:rsid w:val="00361305"/>
    <w:rsid w:val="00361353"/>
    <w:rsid w:val="003624E1"/>
    <w:rsid w:val="003644D9"/>
    <w:rsid w:val="0037274A"/>
    <w:rsid w:val="003775C2"/>
    <w:rsid w:val="00385E6A"/>
    <w:rsid w:val="00387870"/>
    <w:rsid w:val="00391FD8"/>
    <w:rsid w:val="003927FA"/>
    <w:rsid w:val="00392C12"/>
    <w:rsid w:val="00394E29"/>
    <w:rsid w:val="00395C8C"/>
    <w:rsid w:val="003963A5"/>
    <w:rsid w:val="003A3BA4"/>
    <w:rsid w:val="003A4E22"/>
    <w:rsid w:val="003A5DA8"/>
    <w:rsid w:val="003A64D1"/>
    <w:rsid w:val="003B1CBD"/>
    <w:rsid w:val="003C4258"/>
    <w:rsid w:val="003D58B5"/>
    <w:rsid w:val="003D6069"/>
    <w:rsid w:val="003D70F1"/>
    <w:rsid w:val="003E0086"/>
    <w:rsid w:val="003E033B"/>
    <w:rsid w:val="003E3C0B"/>
    <w:rsid w:val="003E50C5"/>
    <w:rsid w:val="003E6011"/>
    <w:rsid w:val="003E6899"/>
    <w:rsid w:val="003E6C4E"/>
    <w:rsid w:val="003E7365"/>
    <w:rsid w:val="003F0E32"/>
    <w:rsid w:val="003F1ECD"/>
    <w:rsid w:val="003F2F55"/>
    <w:rsid w:val="003F3A69"/>
    <w:rsid w:val="003F43C2"/>
    <w:rsid w:val="003F7E1C"/>
    <w:rsid w:val="00403698"/>
    <w:rsid w:val="00405BAE"/>
    <w:rsid w:val="0041078E"/>
    <w:rsid w:val="004165D0"/>
    <w:rsid w:val="00416A69"/>
    <w:rsid w:val="00423315"/>
    <w:rsid w:val="00426FD9"/>
    <w:rsid w:val="00427C3F"/>
    <w:rsid w:val="0043008A"/>
    <w:rsid w:val="0043158A"/>
    <w:rsid w:val="00440362"/>
    <w:rsid w:val="00443E71"/>
    <w:rsid w:val="00445CF3"/>
    <w:rsid w:val="00446548"/>
    <w:rsid w:val="004476F7"/>
    <w:rsid w:val="00451300"/>
    <w:rsid w:val="00453AB0"/>
    <w:rsid w:val="00455F2F"/>
    <w:rsid w:val="00461277"/>
    <w:rsid w:val="00461A2A"/>
    <w:rsid w:val="00463448"/>
    <w:rsid w:val="004650FD"/>
    <w:rsid w:val="00470098"/>
    <w:rsid w:val="004703B0"/>
    <w:rsid w:val="0047302B"/>
    <w:rsid w:val="00480A6E"/>
    <w:rsid w:val="00483E47"/>
    <w:rsid w:val="0048523B"/>
    <w:rsid w:val="004868EB"/>
    <w:rsid w:val="0049045C"/>
    <w:rsid w:val="0049304F"/>
    <w:rsid w:val="00493CD4"/>
    <w:rsid w:val="0049456E"/>
    <w:rsid w:val="004954E3"/>
    <w:rsid w:val="00495979"/>
    <w:rsid w:val="004977EC"/>
    <w:rsid w:val="004A4708"/>
    <w:rsid w:val="004A4F5D"/>
    <w:rsid w:val="004A7EDB"/>
    <w:rsid w:val="004B159A"/>
    <w:rsid w:val="004B4AC3"/>
    <w:rsid w:val="004B6C7E"/>
    <w:rsid w:val="004B7CDD"/>
    <w:rsid w:val="004C7116"/>
    <w:rsid w:val="004C7FD9"/>
    <w:rsid w:val="004D0F20"/>
    <w:rsid w:val="004D1227"/>
    <w:rsid w:val="004D5DC0"/>
    <w:rsid w:val="004D6548"/>
    <w:rsid w:val="004D70D8"/>
    <w:rsid w:val="004D7885"/>
    <w:rsid w:val="004E06E6"/>
    <w:rsid w:val="005067E1"/>
    <w:rsid w:val="00520A29"/>
    <w:rsid w:val="00522B4F"/>
    <w:rsid w:val="00524C78"/>
    <w:rsid w:val="00527EFB"/>
    <w:rsid w:val="00530BED"/>
    <w:rsid w:val="005316DE"/>
    <w:rsid w:val="005324FE"/>
    <w:rsid w:val="005419B2"/>
    <w:rsid w:val="0054243F"/>
    <w:rsid w:val="00545AB9"/>
    <w:rsid w:val="00550C86"/>
    <w:rsid w:val="00552188"/>
    <w:rsid w:val="00554DEE"/>
    <w:rsid w:val="00555434"/>
    <w:rsid w:val="005554BE"/>
    <w:rsid w:val="00555A3B"/>
    <w:rsid w:val="00557E3C"/>
    <w:rsid w:val="00563D7B"/>
    <w:rsid w:val="0056401C"/>
    <w:rsid w:val="005653F7"/>
    <w:rsid w:val="00570733"/>
    <w:rsid w:val="00573072"/>
    <w:rsid w:val="00580EE6"/>
    <w:rsid w:val="005832FE"/>
    <w:rsid w:val="00583A84"/>
    <w:rsid w:val="0058446A"/>
    <w:rsid w:val="00584715"/>
    <w:rsid w:val="005871F9"/>
    <w:rsid w:val="00590268"/>
    <w:rsid w:val="00590C41"/>
    <w:rsid w:val="00592254"/>
    <w:rsid w:val="005A0AB7"/>
    <w:rsid w:val="005A1C58"/>
    <w:rsid w:val="005A6FFA"/>
    <w:rsid w:val="005B0E20"/>
    <w:rsid w:val="005B269B"/>
    <w:rsid w:val="005B2A65"/>
    <w:rsid w:val="005B2DE6"/>
    <w:rsid w:val="005B364A"/>
    <w:rsid w:val="005B408D"/>
    <w:rsid w:val="005C180B"/>
    <w:rsid w:val="005C3E41"/>
    <w:rsid w:val="005C63EC"/>
    <w:rsid w:val="005C76EA"/>
    <w:rsid w:val="005D0082"/>
    <w:rsid w:val="005D01EB"/>
    <w:rsid w:val="005D6E19"/>
    <w:rsid w:val="005D727C"/>
    <w:rsid w:val="005D7DB2"/>
    <w:rsid w:val="005E4915"/>
    <w:rsid w:val="005E75C3"/>
    <w:rsid w:val="005F3203"/>
    <w:rsid w:val="005F324C"/>
    <w:rsid w:val="005F7412"/>
    <w:rsid w:val="005F74EE"/>
    <w:rsid w:val="006009CC"/>
    <w:rsid w:val="00602157"/>
    <w:rsid w:val="00602D7C"/>
    <w:rsid w:val="0060363C"/>
    <w:rsid w:val="00607597"/>
    <w:rsid w:val="00610F4D"/>
    <w:rsid w:val="00614362"/>
    <w:rsid w:val="006145C6"/>
    <w:rsid w:val="00614C90"/>
    <w:rsid w:val="00616622"/>
    <w:rsid w:val="00617889"/>
    <w:rsid w:val="006214FD"/>
    <w:rsid w:val="00622AEF"/>
    <w:rsid w:val="00627BC3"/>
    <w:rsid w:val="00627BD3"/>
    <w:rsid w:val="00635C3C"/>
    <w:rsid w:val="0064300E"/>
    <w:rsid w:val="006516E4"/>
    <w:rsid w:val="006528F5"/>
    <w:rsid w:val="00654864"/>
    <w:rsid w:val="00656F5D"/>
    <w:rsid w:val="00657FCF"/>
    <w:rsid w:val="006610FD"/>
    <w:rsid w:val="006642B7"/>
    <w:rsid w:val="00665C00"/>
    <w:rsid w:val="006700A4"/>
    <w:rsid w:val="00673D23"/>
    <w:rsid w:val="00676F34"/>
    <w:rsid w:val="006777A2"/>
    <w:rsid w:val="00681DC4"/>
    <w:rsid w:val="00683879"/>
    <w:rsid w:val="00685F82"/>
    <w:rsid w:val="00686EE8"/>
    <w:rsid w:val="00691901"/>
    <w:rsid w:val="006936E8"/>
    <w:rsid w:val="006A0524"/>
    <w:rsid w:val="006A07C7"/>
    <w:rsid w:val="006A1334"/>
    <w:rsid w:val="006A3B1C"/>
    <w:rsid w:val="006A3FDE"/>
    <w:rsid w:val="006A67A3"/>
    <w:rsid w:val="006B049C"/>
    <w:rsid w:val="006B09F3"/>
    <w:rsid w:val="006B2D1A"/>
    <w:rsid w:val="006B30EC"/>
    <w:rsid w:val="006B6F8D"/>
    <w:rsid w:val="006B7B37"/>
    <w:rsid w:val="006C1D75"/>
    <w:rsid w:val="006C3160"/>
    <w:rsid w:val="006C3871"/>
    <w:rsid w:val="006C5329"/>
    <w:rsid w:val="006C5B13"/>
    <w:rsid w:val="006D2CAF"/>
    <w:rsid w:val="006D3BD2"/>
    <w:rsid w:val="006D6A0F"/>
    <w:rsid w:val="006E1212"/>
    <w:rsid w:val="006E38DA"/>
    <w:rsid w:val="006E5689"/>
    <w:rsid w:val="006E677C"/>
    <w:rsid w:val="006F08BF"/>
    <w:rsid w:val="006F1E2B"/>
    <w:rsid w:val="006F2ACC"/>
    <w:rsid w:val="006F40AA"/>
    <w:rsid w:val="006F4506"/>
    <w:rsid w:val="006F61C9"/>
    <w:rsid w:val="0070152D"/>
    <w:rsid w:val="00701FDD"/>
    <w:rsid w:val="007037D6"/>
    <w:rsid w:val="00704654"/>
    <w:rsid w:val="00707458"/>
    <w:rsid w:val="00716F51"/>
    <w:rsid w:val="0071738B"/>
    <w:rsid w:val="00722C2C"/>
    <w:rsid w:val="007239FB"/>
    <w:rsid w:val="00725BF5"/>
    <w:rsid w:val="00727BA7"/>
    <w:rsid w:val="00735462"/>
    <w:rsid w:val="007354E3"/>
    <w:rsid w:val="007357CD"/>
    <w:rsid w:val="00736A64"/>
    <w:rsid w:val="007407E8"/>
    <w:rsid w:val="00742762"/>
    <w:rsid w:val="00754D5A"/>
    <w:rsid w:val="00757BBD"/>
    <w:rsid w:val="007617D7"/>
    <w:rsid w:val="007619BC"/>
    <w:rsid w:val="00761B6C"/>
    <w:rsid w:val="00763499"/>
    <w:rsid w:val="00764393"/>
    <w:rsid w:val="00771986"/>
    <w:rsid w:val="00773AD0"/>
    <w:rsid w:val="007747A7"/>
    <w:rsid w:val="00775245"/>
    <w:rsid w:val="007756FB"/>
    <w:rsid w:val="0077575C"/>
    <w:rsid w:val="00777141"/>
    <w:rsid w:val="007773AB"/>
    <w:rsid w:val="00780381"/>
    <w:rsid w:val="0078177F"/>
    <w:rsid w:val="00784277"/>
    <w:rsid w:val="00790CA9"/>
    <w:rsid w:val="0079246B"/>
    <w:rsid w:val="00793320"/>
    <w:rsid w:val="00795030"/>
    <w:rsid w:val="007A0F2E"/>
    <w:rsid w:val="007A2CF4"/>
    <w:rsid w:val="007A471B"/>
    <w:rsid w:val="007A5B9F"/>
    <w:rsid w:val="007A69AA"/>
    <w:rsid w:val="007A74B0"/>
    <w:rsid w:val="007A7D99"/>
    <w:rsid w:val="007B73B0"/>
    <w:rsid w:val="007B7CEC"/>
    <w:rsid w:val="007C0141"/>
    <w:rsid w:val="007C1914"/>
    <w:rsid w:val="007C19E6"/>
    <w:rsid w:val="007D3EC9"/>
    <w:rsid w:val="007D541A"/>
    <w:rsid w:val="007D5BF1"/>
    <w:rsid w:val="007E2B35"/>
    <w:rsid w:val="007E3BC3"/>
    <w:rsid w:val="007E6CA7"/>
    <w:rsid w:val="007F0128"/>
    <w:rsid w:val="007F0F1D"/>
    <w:rsid w:val="007F1057"/>
    <w:rsid w:val="007F6A93"/>
    <w:rsid w:val="007F7F9A"/>
    <w:rsid w:val="00803914"/>
    <w:rsid w:val="00803BCC"/>
    <w:rsid w:val="00804C51"/>
    <w:rsid w:val="008058B3"/>
    <w:rsid w:val="008132C6"/>
    <w:rsid w:val="008143A1"/>
    <w:rsid w:val="008161A6"/>
    <w:rsid w:val="00820DE5"/>
    <w:rsid w:val="00821A98"/>
    <w:rsid w:val="0082758C"/>
    <w:rsid w:val="00837AE7"/>
    <w:rsid w:val="00840ADC"/>
    <w:rsid w:val="0084139B"/>
    <w:rsid w:val="00842963"/>
    <w:rsid w:val="00846B04"/>
    <w:rsid w:val="0085475B"/>
    <w:rsid w:val="008552E3"/>
    <w:rsid w:val="00856C53"/>
    <w:rsid w:val="008642D8"/>
    <w:rsid w:val="00865319"/>
    <w:rsid w:val="00866665"/>
    <w:rsid w:val="00866BCC"/>
    <w:rsid w:val="0086749D"/>
    <w:rsid w:val="0087783B"/>
    <w:rsid w:val="00882BF7"/>
    <w:rsid w:val="0088389B"/>
    <w:rsid w:val="00884111"/>
    <w:rsid w:val="008941A1"/>
    <w:rsid w:val="00896E74"/>
    <w:rsid w:val="008A3058"/>
    <w:rsid w:val="008A3740"/>
    <w:rsid w:val="008A5043"/>
    <w:rsid w:val="008B42BE"/>
    <w:rsid w:val="008C5305"/>
    <w:rsid w:val="008C5DC3"/>
    <w:rsid w:val="008D006B"/>
    <w:rsid w:val="008D3783"/>
    <w:rsid w:val="008D54DF"/>
    <w:rsid w:val="008E1677"/>
    <w:rsid w:val="008E222D"/>
    <w:rsid w:val="008E38E9"/>
    <w:rsid w:val="008E7027"/>
    <w:rsid w:val="008F0870"/>
    <w:rsid w:val="008F3B97"/>
    <w:rsid w:val="008F7634"/>
    <w:rsid w:val="0090454F"/>
    <w:rsid w:val="00905EA4"/>
    <w:rsid w:val="00905F6B"/>
    <w:rsid w:val="00907477"/>
    <w:rsid w:val="009147DC"/>
    <w:rsid w:val="00916AB7"/>
    <w:rsid w:val="00916F1D"/>
    <w:rsid w:val="0092061D"/>
    <w:rsid w:val="00922509"/>
    <w:rsid w:val="00925085"/>
    <w:rsid w:val="00926AF0"/>
    <w:rsid w:val="00930EF1"/>
    <w:rsid w:val="00943EF5"/>
    <w:rsid w:val="0094412C"/>
    <w:rsid w:val="00954C27"/>
    <w:rsid w:val="00956798"/>
    <w:rsid w:val="009575BA"/>
    <w:rsid w:val="00963509"/>
    <w:rsid w:val="00964B14"/>
    <w:rsid w:val="00971658"/>
    <w:rsid w:val="009717F1"/>
    <w:rsid w:val="009721EB"/>
    <w:rsid w:val="00974ACD"/>
    <w:rsid w:val="00977829"/>
    <w:rsid w:val="0098032B"/>
    <w:rsid w:val="00983E18"/>
    <w:rsid w:val="00990733"/>
    <w:rsid w:val="009920D0"/>
    <w:rsid w:val="009923DC"/>
    <w:rsid w:val="00992810"/>
    <w:rsid w:val="0099375C"/>
    <w:rsid w:val="009968FB"/>
    <w:rsid w:val="009A3A54"/>
    <w:rsid w:val="009A6651"/>
    <w:rsid w:val="009B0A21"/>
    <w:rsid w:val="009B2164"/>
    <w:rsid w:val="009B391B"/>
    <w:rsid w:val="009B4780"/>
    <w:rsid w:val="009B4A8F"/>
    <w:rsid w:val="009C00AA"/>
    <w:rsid w:val="009C1C9A"/>
    <w:rsid w:val="009C3F6E"/>
    <w:rsid w:val="009C7DCC"/>
    <w:rsid w:val="009D21BA"/>
    <w:rsid w:val="009D23EB"/>
    <w:rsid w:val="009D27A1"/>
    <w:rsid w:val="009E2A90"/>
    <w:rsid w:val="009E4E6B"/>
    <w:rsid w:val="009F0707"/>
    <w:rsid w:val="009F0C34"/>
    <w:rsid w:val="009F2A73"/>
    <w:rsid w:val="009F2CBC"/>
    <w:rsid w:val="009F7701"/>
    <w:rsid w:val="00A012AB"/>
    <w:rsid w:val="00A018CA"/>
    <w:rsid w:val="00A01A7F"/>
    <w:rsid w:val="00A03739"/>
    <w:rsid w:val="00A05210"/>
    <w:rsid w:val="00A06F77"/>
    <w:rsid w:val="00A117A2"/>
    <w:rsid w:val="00A14EB7"/>
    <w:rsid w:val="00A17C56"/>
    <w:rsid w:val="00A17C96"/>
    <w:rsid w:val="00A209D8"/>
    <w:rsid w:val="00A215EC"/>
    <w:rsid w:val="00A2227E"/>
    <w:rsid w:val="00A22C3A"/>
    <w:rsid w:val="00A32C9B"/>
    <w:rsid w:val="00A33AD2"/>
    <w:rsid w:val="00A35B32"/>
    <w:rsid w:val="00A35FF3"/>
    <w:rsid w:val="00A418F8"/>
    <w:rsid w:val="00A4309F"/>
    <w:rsid w:val="00A43A82"/>
    <w:rsid w:val="00A506FE"/>
    <w:rsid w:val="00A50798"/>
    <w:rsid w:val="00A53361"/>
    <w:rsid w:val="00A54EB9"/>
    <w:rsid w:val="00A5503E"/>
    <w:rsid w:val="00A62812"/>
    <w:rsid w:val="00A63303"/>
    <w:rsid w:val="00A75DC2"/>
    <w:rsid w:val="00A77165"/>
    <w:rsid w:val="00A81997"/>
    <w:rsid w:val="00A81B2F"/>
    <w:rsid w:val="00A90B95"/>
    <w:rsid w:val="00A92131"/>
    <w:rsid w:val="00A926C7"/>
    <w:rsid w:val="00A92E70"/>
    <w:rsid w:val="00A94A9A"/>
    <w:rsid w:val="00A96896"/>
    <w:rsid w:val="00A9795A"/>
    <w:rsid w:val="00AA27B8"/>
    <w:rsid w:val="00AA3ABD"/>
    <w:rsid w:val="00AA4C52"/>
    <w:rsid w:val="00AC22A8"/>
    <w:rsid w:val="00AD3806"/>
    <w:rsid w:val="00AD691C"/>
    <w:rsid w:val="00AD6E21"/>
    <w:rsid w:val="00AE1323"/>
    <w:rsid w:val="00AE2EBA"/>
    <w:rsid w:val="00AE3918"/>
    <w:rsid w:val="00AE4718"/>
    <w:rsid w:val="00AE5013"/>
    <w:rsid w:val="00AE703E"/>
    <w:rsid w:val="00AF48F2"/>
    <w:rsid w:val="00AF7B90"/>
    <w:rsid w:val="00B00DAF"/>
    <w:rsid w:val="00B1006D"/>
    <w:rsid w:val="00B1076C"/>
    <w:rsid w:val="00B116A8"/>
    <w:rsid w:val="00B15493"/>
    <w:rsid w:val="00B16387"/>
    <w:rsid w:val="00B17377"/>
    <w:rsid w:val="00B24421"/>
    <w:rsid w:val="00B358D4"/>
    <w:rsid w:val="00B3610D"/>
    <w:rsid w:val="00B37A56"/>
    <w:rsid w:val="00B40DE3"/>
    <w:rsid w:val="00B40DE6"/>
    <w:rsid w:val="00B423B5"/>
    <w:rsid w:val="00B4419C"/>
    <w:rsid w:val="00B475E9"/>
    <w:rsid w:val="00B50F6C"/>
    <w:rsid w:val="00B51509"/>
    <w:rsid w:val="00B519B4"/>
    <w:rsid w:val="00B57B2B"/>
    <w:rsid w:val="00B63D05"/>
    <w:rsid w:val="00B64799"/>
    <w:rsid w:val="00B64824"/>
    <w:rsid w:val="00B67EB1"/>
    <w:rsid w:val="00B7136B"/>
    <w:rsid w:val="00B72CAE"/>
    <w:rsid w:val="00B80641"/>
    <w:rsid w:val="00B80D51"/>
    <w:rsid w:val="00B811B3"/>
    <w:rsid w:val="00B82671"/>
    <w:rsid w:val="00B82FC7"/>
    <w:rsid w:val="00B8344D"/>
    <w:rsid w:val="00B86B98"/>
    <w:rsid w:val="00B86FE2"/>
    <w:rsid w:val="00B9644F"/>
    <w:rsid w:val="00BA284E"/>
    <w:rsid w:val="00BA7714"/>
    <w:rsid w:val="00BB07E8"/>
    <w:rsid w:val="00BB20C8"/>
    <w:rsid w:val="00BB2480"/>
    <w:rsid w:val="00BC1466"/>
    <w:rsid w:val="00BC3A1A"/>
    <w:rsid w:val="00BC3DCC"/>
    <w:rsid w:val="00BC6BFC"/>
    <w:rsid w:val="00BD0F49"/>
    <w:rsid w:val="00BD1EC5"/>
    <w:rsid w:val="00BD2346"/>
    <w:rsid w:val="00BD6B2F"/>
    <w:rsid w:val="00BD6F9D"/>
    <w:rsid w:val="00BE64AB"/>
    <w:rsid w:val="00BF0B17"/>
    <w:rsid w:val="00BF2872"/>
    <w:rsid w:val="00BF2ED9"/>
    <w:rsid w:val="00BF3A3F"/>
    <w:rsid w:val="00BF4991"/>
    <w:rsid w:val="00C00060"/>
    <w:rsid w:val="00C017DB"/>
    <w:rsid w:val="00C07730"/>
    <w:rsid w:val="00C07BEB"/>
    <w:rsid w:val="00C20AAA"/>
    <w:rsid w:val="00C20F2D"/>
    <w:rsid w:val="00C2161B"/>
    <w:rsid w:val="00C22F77"/>
    <w:rsid w:val="00C247E0"/>
    <w:rsid w:val="00C25C5D"/>
    <w:rsid w:val="00C2779A"/>
    <w:rsid w:val="00C27E6E"/>
    <w:rsid w:val="00C33A4F"/>
    <w:rsid w:val="00C33F33"/>
    <w:rsid w:val="00C35EE1"/>
    <w:rsid w:val="00C41957"/>
    <w:rsid w:val="00C41EDF"/>
    <w:rsid w:val="00C42866"/>
    <w:rsid w:val="00C43D51"/>
    <w:rsid w:val="00C44B5B"/>
    <w:rsid w:val="00C45C4C"/>
    <w:rsid w:val="00C47976"/>
    <w:rsid w:val="00C51A37"/>
    <w:rsid w:val="00C56F7D"/>
    <w:rsid w:val="00C6060E"/>
    <w:rsid w:val="00C616C5"/>
    <w:rsid w:val="00C627DC"/>
    <w:rsid w:val="00C653AA"/>
    <w:rsid w:val="00C6542F"/>
    <w:rsid w:val="00C7006C"/>
    <w:rsid w:val="00C70080"/>
    <w:rsid w:val="00C72BF9"/>
    <w:rsid w:val="00C74582"/>
    <w:rsid w:val="00C77095"/>
    <w:rsid w:val="00C8348C"/>
    <w:rsid w:val="00C95B25"/>
    <w:rsid w:val="00C95EC1"/>
    <w:rsid w:val="00CA00ED"/>
    <w:rsid w:val="00CA208A"/>
    <w:rsid w:val="00CA28BF"/>
    <w:rsid w:val="00CA620A"/>
    <w:rsid w:val="00CA6675"/>
    <w:rsid w:val="00CB1248"/>
    <w:rsid w:val="00CB2B1F"/>
    <w:rsid w:val="00CB36AA"/>
    <w:rsid w:val="00CB5055"/>
    <w:rsid w:val="00CB50AD"/>
    <w:rsid w:val="00CB592A"/>
    <w:rsid w:val="00CB6EDC"/>
    <w:rsid w:val="00CC103B"/>
    <w:rsid w:val="00CC54B2"/>
    <w:rsid w:val="00CD0FE9"/>
    <w:rsid w:val="00CD1FE6"/>
    <w:rsid w:val="00CD4D9B"/>
    <w:rsid w:val="00CD5FEA"/>
    <w:rsid w:val="00CE5566"/>
    <w:rsid w:val="00CE55AD"/>
    <w:rsid w:val="00CF2E5A"/>
    <w:rsid w:val="00CF5E51"/>
    <w:rsid w:val="00D1117A"/>
    <w:rsid w:val="00D13602"/>
    <w:rsid w:val="00D16438"/>
    <w:rsid w:val="00D20281"/>
    <w:rsid w:val="00D20E0F"/>
    <w:rsid w:val="00D21F41"/>
    <w:rsid w:val="00D22066"/>
    <w:rsid w:val="00D22F0D"/>
    <w:rsid w:val="00D23B5C"/>
    <w:rsid w:val="00D2532E"/>
    <w:rsid w:val="00D2723C"/>
    <w:rsid w:val="00D30A33"/>
    <w:rsid w:val="00D3340D"/>
    <w:rsid w:val="00D33ACB"/>
    <w:rsid w:val="00D344D3"/>
    <w:rsid w:val="00D4150A"/>
    <w:rsid w:val="00D472AF"/>
    <w:rsid w:val="00D47FED"/>
    <w:rsid w:val="00D50EB6"/>
    <w:rsid w:val="00D533A3"/>
    <w:rsid w:val="00D57BCA"/>
    <w:rsid w:val="00D60160"/>
    <w:rsid w:val="00D616A5"/>
    <w:rsid w:val="00D6177C"/>
    <w:rsid w:val="00D6702B"/>
    <w:rsid w:val="00D671A2"/>
    <w:rsid w:val="00D7309F"/>
    <w:rsid w:val="00D73C2E"/>
    <w:rsid w:val="00D73C5D"/>
    <w:rsid w:val="00D81674"/>
    <w:rsid w:val="00D82036"/>
    <w:rsid w:val="00D8598A"/>
    <w:rsid w:val="00D93D1A"/>
    <w:rsid w:val="00D949FE"/>
    <w:rsid w:val="00D969FD"/>
    <w:rsid w:val="00DA0F81"/>
    <w:rsid w:val="00DA1909"/>
    <w:rsid w:val="00DA1F2D"/>
    <w:rsid w:val="00DA6D90"/>
    <w:rsid w:val="00DB7B68"/>
    <w:rsid w:val="00DC11F4"/>
    <w:rsid w:val="00DC20E9"/>
    <w:rsid w:val="00DC28FF"/>
    <w:rsid w:val="00DC3E83"/>
    <w:rsid w:val="00DC4432"/>
    <w:rsid w:val="00DD617B"/>
    <w:rsid w:val="00DE2509"/>
    <w:rsid w:val="00DF0338"/>
    <w:rsid w:val="00DF4AC7"/>
    <w:rsid w:val="00DF54C0"/>
    <w:rsid w:val="00DF55B7"/>
    <w:rsid w:val="00DF6BE6"/>
    <w:rsid w:val="00E02A7A"/>
    <w:rsid w:val="00E02BE0"/>
    <w:rsid w:val="00E05D50"/>
    <w:rsid w:val="00E06B04"/>
    <w:rsid w:val="00E06B38"/>
    <w:rsid w:val="00E15F1A"/>
    <w:rsid w:val="00E173E6"/>
    <w:rsid w:val="00E24834"/>
    <w:rsid w:val="00E249EF"/>
    <w:rsid w:val="00E30AE0"/>
    <w:rsid w:val="00E31058"/>
    <w:rsid w:val="00E31E2E"/>
    <w:rsid w:val="00E352BC"/>
    <w:rsid w:val="00E42BE7"/>
    <w:rsid w:val="00E42D74"/>
    <w:rsid w:val="00E53CE9"/>
    <w:rsid w:val="00E53DC0"/>
    <w:rsid w:val="00E60C5B"/>
    <w:rsid w:val="00E6372B"/>
    <w:rsid w:val="00E640AC"/>
    <w:rsid w:val="00E75DC2"/>
    <w:rsid w:val="00E77252"/>
    <w:rsid w:val="00E84129"/>
    <w:rsid w:val="00E85004"/>
    <w:rsid w:val="00E853EF"/>
    <w:rsid w:val="00E86AC1"/>
    <w:rsid w:val="00E9216C"/>
    <w:rsid w:val="00EA1BF7"/>
    <w:rsid w:val="00EA2101"/>
    <w:rsid w:val="00EA41E6"/>
    <w:rsid w:val="00EA617A"/>
    <w:rsid w:val="00EB0508"/>
    <w:rsid w:val="00EB18F1"/>
    <w:rsid w:val="00EB3557"/>
    <w:rsid w:val="00EB629F"/>
    <w:rsid w:val="00EC14BA"/>
    <w:rsid w:val="00EC54E9"/>
    <w:rsid w:val="00ED1E49"/>
    <w:rsid w:val="00EE48AF"/>
    <w:rsid w:val="00EE4ADE"/>
    <w:rsid w:val="00EE5D01"/>
    <w:rsid w:val="00EE7DB1"/>
    <w:rsid w:val="00EF3A8D"/>
    <w:rsid w:val="00EF593E"/>
    <w:rsid w:val="00EF6C61"/>
    <w:rsid w:val="00F021CE"/>
    <w:rsid w:val="00F10A4B"/>
    <w:rsid w:val="00F11446"/>
    <w:rsid w:val="00F141DB"/>
    <w:rsid w:val="00F145A2"/>
    <w:rsid w:val="00F15DD0"/>
    <w:rsid w:val="00F16031"/>
    <w:rsid w:val="00F33569"/>
    <w:rsid w:val="00F338B5"/>
    <w:rsid w:val="00F43B91"/>
    <w:rsid w:val="00F43BD3"/>
    <w:rsid w:val="00F4588B"/>
    <w:rsid w:val="00F46380"/>
    <w:rsid w:val="00F46BCF"/>
    <w:rsid w:val="00F52B91"/>
    <w:rsid w:val="00F5723E"/>
    <w:rsid w:val="00F60671"/>
    <w:rsid w:val="00F632B5"/>
    <w:rsid w:val="00F63BB2"/>
    <w:rsid w:val="00F66312"/>
    <w:rsid w:val="00F67572"/>
    <w:rsid w:val="00F753CD"/>
    <w:rsid w:val="00F75535"/>
    <w:rsid w:val="00F819A1"/>
    <w:rsid w:val="00F8405D"/>
    <w:rsid w:val="00F86BE5"/>
    <w:rsid w:val="00F90E99"/>
    <w:rsid w:val="00F93978"/>
    <w:rsid w:val="00F94A8C"/>
    <w:rsid w:val="00F94A96"/>
    <w:rsid w:val="00F9507F"/>
    <w:rsid w:val="00F95C6C"/>
    <w:rsid w:val="00FA0FE5"/>
    <w:rsid w:val="00FA20E7"/>
    <w:rsid w:val="00FA7D61"/>
    <w:rsid w:val="00FB55BF"/>
    <w:rsid w:val="00FC16F3"/>
    <w:rsid w:val="00FC1877"/>
    <w:rsid w:val="00FC1AE7"/>
    <w:rsid w:val="00FC2435"/>
    <w:rsid w:val="00FC548E"/>
    <w:rsid w:val="00FC5D84"/>
    <w:rsid w:val="00FD1448"/>
    <w:rsid w:val="00FD2036"/>
    <w:rsid w:val="00FD3B14"/>
    <w:rsid w:val="00FE0B2E"/>
    <w:rsid w:val="00FE1FF0"/>
    <w:rsid w:val="00FE61E5"/>
    <w:rsid w:val="00FF0085"/>
    <w:rsid w:val="00FF1EA4"/>
    <w:rsid w:val="00FF450F"/>
    <w:rsid w:val="00FF50F3"/>
    <w:rsid w:val="00FF6BE9"/>
    <w:rsid w:val="00FF6EEC"/>
    <w:rsid w:val="00FF6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A8730"/>
  <w15:chartTrackingRefBased/>
  <w15:docId w15:val="{A3E5682E-475B-488B-B043-872DBC7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5AD"/>
    <w:pPr>
      <w:spacing w:after="200" w:line="276" w:lineRule="auto"/>
    </w:pPr>
    <w:rPr>
      <w:sz w:val="22"/>
      <w:szCs w:val="22"/>
    </w:rPr>
  </w:style>
  <w:style w:type="paragraph" w:styleId="Heading1">
    <w:name w:val="heading 1"/>
    <w:basedOn w:val="Normal"/>
    <w:link w:val="Heading1Char"/>
    <w:qFormat/>
    <w:rsid w:val="006D3BD2"/>
    <w:pPr>
      <w:spacing w:before="100" w:beforeAutospacing="1" w:after="100" w:afterAutospacing="1" w:line="240" w:lineRule="auto"/>
      <w:outlineLvl w:val="0"/>
    </w:pPr>
    <w:rPr>
      <w:rFonts w:ascii="Arial" w:hAnsi="Arial" w:cs="Arial"/>
      <w:b/>
      <w:bCs/>
      <w:color w:val="3E3E3E"/>
      <w:kern w:val="36"/>
      <w:sz w:val="33"/>
      <w:szCs w:val="33"/>
    </w:rPr>
  </w:style>
  <w:style w:type="paragraph" w:styleId="Heading2">
    <w:name w:val="heading 2"/>
    <w:basedOn w:val="Normal"/>
    <w:next w:val="Normal"/>
    <w:link w:val="Heading2Char"/>
    <w:unhideWhenUsed/>
    <w:qFormat/>
    <w:rsid w:val="006D3BD2"/>
    <w:pPr>
      <w:keepNext/>
      <w:spacing w:before="240" w:after="60"/>
      <w:outlineLvl w:val="1"/>
    </w:pPr>
    <w:rPr>
      <w:rFonts w:ascii="Cambria" w:hAnsi="Cambria"/>
      <w:b/>
      <w:bCs/>
      <w:i/>
      <w:iCs/>
      <w:sz w:val="28"/>
      <w:szCs w:val="28"/>
      <w:lang w:eastAsia="en-US"/>
    </w:rPr>
  </w:style>
  <w:style w:type="paragraph" w:styleId="Heading3">
    <w:name w:val="heading 3"/>
    <w:basedOn w:val="Normal"/>
    <w:next w:val="Normal"/>
    <w:link w:val="Heading3Char"/>
    <w:uiPriority w:val="9"/>
    <w:unhideWhenUsed/>
    <w:qFormat/>
    <w:rsid w:val="005C63EC"/>
    <w:pPr>
      <w:keepNext/>
      <w:spacing w:before="240" w:after="60"/>
      <w:outlineLvl w:val="2"/>
    </w:pPr>
    <w:rPr>
      <w:rFonts w:ascii="Cambria" w:hAnsi="Cambria"/>
      <w:b/>
      <w:bCs/>
      <w:sz w:val="26"/>
      <w:szCs w:val="26"/>
    </w:rPr>
  </w:style>
  <w:style w:type="paragraph" w:styleId="Heading4">
    <w:name w:val="heading 4"/>
    <w:basedOn w:val="Normal"/>
    <w:link w:val="Heading4Char"/>
    <w:qFormat/>
    <w:rsid w:val="005C63EC"/>
    <w:pPr>
      <w:tabs>
        <w:tab w:val="left" w:pos="2261"/>
        <w:tab w:val="num" w:pos="2421"/>
      </w:tabs>
      <w:spacing w:after="120" w:line="300" w:lineRule="atLeast"/>
      <w:ind w:left="2268" w:hanging="567"/>
      <w:jc w:val="both"/>
      <w:outlineLvl w:val="3"/>
    </w:pPr>
    <w:rPr>
      <w:rFonts w:ascii="Times New Roman" w:hAnsi="Times New Roman"/>
      <w:szCs w:val="20"/>
      <w:lang w:eastAsia="en-US"/>
    </w:rPr>
  </w:style>
  <w:style w:type="paragraph" w:styleId="Heading5">
    <w:name w:val="heading 5"/>
    <w:basedOn w:val="Normal"/>
    <w:link w:val="Heading5Char"/>
    <w:qFormat/>
    <w:rsid w:val="005C63EC"/>
    <w:pPr>
      <w:tabs>
        <w:tab w:val="num" w:pos="2880"/>
      </w:tabs>
      <w:spacing w:after="120" w:line="300" w:lineRule="atLeast"/>
      <w:ind w:left="2880" w:hanging="720"/>
      <w:jc w:val="both"/>
      <w:outlineLvl w:val="4"/>
    </w:pPr>
    <w:rPr>
      <w:rFonts w:ascii="Times New Roman" w:hAnsi="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8AF"/>
    <w:pPr>
      <w:ind w:left="720"/>
      <w:contextualSpacing/>
    </w:pPr>
    <w:rPr>
      <w:rFonts w:eastAsia="Calibri"/>
      <w:lang w:eastAsia="en-US"/>
    </w:rPr>
  </w:style>
  <w:style w:type="table" w:styleId="TableGrid">
    <w:name w:val="Table Grid"/>
    <w:basedOn w:val="TableNormal"/>
    <w:uiPriority w:val="59"/>
    <w:rsid w:val="00EE48AF"/>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C54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48E"/>
  </w:style>
  <w:style w:type="paragraph" w:styleId="Footer">
    <w:name w:val="footer"/>
    <w:basedOn w:val="Normal"/>
    <w:link w:val="FooterChar"/>
    <w:uiPriority w:val="99"/>
    <w:unhideWhenUsed/>
    <w:rsid w:val="00FC54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48E"/>
  </w:style>
  <w:style w:type="paragraph" w:styleId="BalloonText">
    <w:name w:val="Balloon Text"/>
    <w:basedOn w:val="Normal"/>
    <w:link w:val="BalloonTextChar"/>
    <w:uiPriority w:val="99"/>
    <w:semiHidden/>
    <w:unhideWhenUsed/>
    <w:rsid w:val="00FC548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C548E"/>
    <w:rPr>
      <w:rFonts w:ascii="Tahoma" w:hAnsi="Tahoma" w:cs="Tahoma"/>
      <w:sz w:val="16"/>
      <w:szCs w:val="16"/>
    </w:rPr>
  </w:style>
  <w:style w:type="paragraph" w:customStyle="1" w:styleId="Default">
    <w:name w:val="Default"/>
    <w:rsid w:val="007B7CEC"/>
    <w:pPr>
      <w:autoSpaceDE w:val="0"/>
      <w:autoSpaceDN w:val="0"/>
      <w:adjustRightInd w:val="0"/>
    </w:pPr>
    <w:rPr>
      <w:rFonts w:ascii="Arial" w:eastAsia="Calibri" w:hAnsi="Arial" w:cs="Arial"/>
      <w:color w:val="000000"/>
      <w:sz w:val="24"/>
      <w:szCs w:val="24"/>
      <w:lang w:eastAsia="en-US"/>
    </w:rPr>
  </w:style>
  <w:style w:type="character" w:customStyle="1" w:styleId="Heading1Char">
    <w:name w:val="Heading 1 Char"/>
    <w:link w:val="Heading1"/>
    <w:uiPriority w:val="9"/>
    <w:rsid w:val="006D3BD2"/>
    <w:rPr>
      <w:rFonts w:ascii="Arial" w:hAnsi="Arial" w:cs="Arial"/>
      <w:b/>
      <w:bCs/>
      <w:color w:val="3E3E3E"/>
      <w:kern w:val="36"/>
      <w:sz w:val="33"/>
      <w:szCs w:val="33"/>
    </w:rPr>
  </w:style>
  <w:style w:type="character" w:customStyle="1" w:styleId="Heading2Char">
    <w:name w:val="Heading 2 Char"/>
    <w:link w:val="Heading2"/>
    <w:uiPriority w:val="9"/>
    <w:semiHidden/>
    <w:rsid w:val="006D3BD2"/>
    <w:rPr>
      <w:rFonts w:ascii="Cambria" w:hAnsi="Cambria"/>
      <w:b/>
      <w:bCs/>
      <w:i/>
      <w:iCs/>
      <w:sz w:val="28"/>
      <w:szCs w:val="28"/>
      <w:lang w:eastAsia="en-US"/>
    </w:rPr>
  </w:style>
  <w:style w:type="character" w:styleId="Hyperlink">
    <w:name w:val="Hyperlink"/>
    <w:uiPriority w:val="99"/>
    <w:unhideWhenUsed/>
    <w:rsid w:val="006D3BD2"/>
    <w:rPr>
      <w:strike w:val="0"/>
      <w:dstrike w:val="0"/>
      <w:color w:val="2C79B3"/>
      <w:u w:val="none"/>
      <w:effect w:val="none"/>
    </w:rPr>
  </w:style>
  <w:style w:type="paragraph" w:styleId="NormalWeb">
    <w:name w:val="Normal (Web)"/>
    <w:basedOn w:val="Normal"/>
    <w:uiPriority w:val="99"/>
    <w:unhideWhenUsed/>
    <w:rsid w:val="006D3BD2"/>
    <w:pPr>
      <w:spacing w:before="150" w:after="150" w:line="240" w:lineRule="auto"/>
    </w:pPr>
    <w:rPr>
      <w:rFonts w:ascii="Times New Roman" w:hAnsi="Times New Roman"/>
      <w:sz w:val="24"/>
      <w:szCs w:val="24"/>
    </w:rPr>
  </w:style>
  <w:style w:type="paragraph" w:customStyle="1" w:styleId="22-Modeltekst">
    <w:name w:val="22 - Model_tekst"/>
    <w:basedOn w:val="Normal"/>
    <w:uiPriority w:val="99"/>
    <w:rsid w:val="00E84129"/>
    <w:pPr>
      <w:suppressAutoHyphens/>
      <w:autoSpaceDE w:val="0"/>
      <w:autoSpaceDN w:val="0"/>
      <w:adjustRightInd w:val="0"/>
      <w:spacing w:after="170" w:line="280" w:lineRule="atLeast"/>
      <w:jc w:val="both"/>
    </w:pPr>
    <w:rPr>
      <w:rFonts w:ascii="NewCenturySchlbk" w:hAnsi="NewCenturySchlbk" w:cs="NewCenturySchlbk"/>
      <w:color w:val="000000"/>
      <w:spacing w:val="-10"/>
      <w:lang w:val="nl-NL" w:eastAsia="en-US"/>
    </w:rPr>
  </w:style>
  <w:style w:type="paragraph" w:customStyle="1" w:styleId="22-Modeltekst1ofbullet">
    <w:name w:val="22 - Model_tekst (1. of bullet)"/>
    <w:basedOn w:val="22-Modeltekst"/>
    <w:uiPriority w:val="99"/>
    <w:rsid w:val="00E84129"/>
    <w:pPr>
      <w:tabs>
        <w:tab w:val="left" w:pos="283"/>
        <w:tab w:val="center" w:leader="dot" w:pos="7483"/>
        <w:tab w:val="center" w:pos="7937"/>
      </w:tabs>
      <w:ind w:left="283" w:hanging="283"/>
      <w:jc w:val="left"/>
    </w:pPr>
  </w:style>
  <w:style w:type="paragraph" w:customStyle="1" w:styleId="21-Modelsubtitelbit">
    <w:name w:val="21 - Model_subtitel (b+it)"/>
    <w:basedOn w:val="Normal"/>
    <w:uiPriority w:val="99"/>
    <w:rsid w:val="00E84129"/>
    <w:pPr>
      <w:keepNext/>
      <w:suppressAutoHyphens/>
      <w:autoSpaceDE w:val="0"/>
      <w:autoSpaceDN w:val="0"/>
      <w:adjustRightInd w:val="0"/>
      <w:spacing w:before="340" w:after="170" w:line="280" w:lineRule="atLeast"/>
    </w:pPr>
    <w:rPr>
      <w:rFonts w:ascii="NewCenturySchlbk" w:hAnsi="NewCenturySchlbk" w:cs="NewCenturySchlbk"/>
      <w:b/>
      <w:bCs/>
      <w:i/>
      <w:iCs/>
      <w:color w:val="000000"/>
      <w:spacing w:val="-13"/>
      <w:lang w:val="nl-NL" w:eastAsia="en-US"/>
    </w:rPr>
  </w:style>
  <w:style w:type="character" w:customStyle="1" w:styleId="n-CompCl">
    <w:name w:val="n-CompCl"/>
    <w:uiPriority w:val="99"/>
    <w:rsid w:val="00E84129"/>
    <w:rPr>
      <w:rFonts w:ascii="Times New Roman" w:hAnsi="Times New Roman" w:cs="Times New Roman" w:hint="default"/>
      <w:color w:val="800080"/>
    </w:rPr>
  </w:style>
  <w:style w:type="paragraph" w:styleId="NoSpacing">
    <w:name w:val="No Spacing"/>
    <w:link w:val="NoSpacingChar"/>
    <w:uiPriority w:val="1"/>
    <w:qFormat/>
    <w:rsid w:val="0049045C"/>
    <w:rPr>
      <w:sz w:val="22"/>
      <w:szCs w:val="22"/>
    </w:rPr>
  </w:style>
  <w:style w:type="character" w:customStyle="1" w:styleId="NoSpacingChar">
    <w:name w:val="No Spacing Char"/>
    <w:link w:val="NoSpacing"/>
    <w:uiPriority w:val="1"/>
    <w:rsid w:val="00A53361"/>
    <w:rPr>
      <w:sz w:val="22"/>
      <w:szCs w:val="22"/>
      <w:lang w:val="en-GB" w:eastAsia="en-GB" w:bidi="ar-SA"/>
    </w:rPr>
  </w:style>
  <w:style w:type="paragraph" w:styleId="TOCHeading">
    <w:name w:val="TOC Heading"/>
    <w:basedOn w:val="Heading1"/>
    <w:next w:val="Normal"/>
    <w:uiPriority w:val="39"/>
    <w:unhideWhenUsed/>
    <w:qFormat/>
    <w:rsid w:val="00FB55BF"/>
    <w:pPr>
      <w:keepNext/>
      <w:keepLines/>
      <w:spacing w:before="480" w:beforeAutospacing="0" w:after="0" w:afterAutospacing="0" w:line="276" w:lineRule="auto"/>
      <w:outlineLvl w:val="9"/>
    </w:pPr>
    <w:rPr>
      <w:rFonts w:ascii="Cambria" w:hAnsi="Cambria" w:cs="Times New Roman"/>
      <w:color w:val="365F91"/>
      <w:kern w:val="0"/>
      <w:sz w:val="28"/>
      <w:szCs w:val="28"/>
      <w:lang w:val="en-US" w:eastAsia="en-US"/>
    </w:rPr>
  </w:style>
  <w:style w:type="paragraph" w:styleId="TOC2">
    <w:name w:val="toc 2"/>
    <w:basedOn w:val="Normal"/>
    <w:next w:val="Normal"/>
    <w:autoRedefine/>
    <w:uiPriority w:val="39"/>
    <w:unhideWhenUsed/>
    <w:rsid w:val="00FB55BF"/>
    <w:pPr>
      <w:ind w:left="220"/>
    </w:pPr>
  </w:style>
  <w:style w:type="paragraph" w:styleId="TOC1">
    <w:name w:val="toc 1"/>
    <w:basedOn w:val="Normal"/>
    <w:next w:val="Normal"/>
    <w:autoRedefine/>
    <w:uiPriority w:val="39"/>
    <w:unhideWhenUsed/>
    <w:rsid w:val="00045B21"/>
    <w:pPr>
      <w:tabs>
        <w:tab w:val="left" w:pos="440"/>
        <w:tab w:val="right" w:leader="dot" w:pos="9016"/>
      </w:tabs>
      <w:spacing w:line="360" w:lineRule="auto"/>
      <w:jc w:val="center"/>
    </w:pPr>
    <w:rPr>
      <w:b/>
      <w:sz w:val="28"/>
      <w:szCs w:val="28"/>
    </w:rPr>
  </w:style>
  <w:style w:type="character" w:customStyle="1" w:styleId="Heading3Char">
    <w:name w:val="Heading 3 Char"/>
    <w:link w:val="Heading3"/>
    <w:uiPriority w:val="9"/>
    <w:semiHidden/>
    <w:rsid w:val="005C63EC"/>
    <w:rPr>
      <w:rFonts w:ascii="Cambria" w:eastAsia="Times New Roman" w:hAnsi="Cambria" w:cs="Times New Roman"/>
      <w:b/>
      <w:bCs/>
      <w:sz w:val="26"/>
      <w:szCs w:val="26"/>
    </w:rPr>
  </w:style>
  <w:style w:type="character" w:customStyle="1" w:styleId="Heading4Char">
    <w:name w:val="Heading 4 Char"/>
    <w:link w:val="Heading4"/>
    <w:rsid w:val="005C63EC"/>
    <w:rPr>
      <w:rFonts w:ascii="Times New Roman" w:hAnsi="Times New Roman"/>
      <w:sz w:val="22"/>
      <w:lang w:eastAsia="en-US"/>
    </w:rPr>
  </w:style>
  <w:style w:type="character" w:customStyle="1" w:styleId="Heading5Char">
    <w:name w:val="Heading 5 Char"/>
    <w:link w:val="Heading5"/>
    <w:rsid w:val="005C63EC"/>
    <w:rPr>
      <w:rFonts w:ascii="Times New Roman" w:hAnsi="Times New Roman"/>
      <w:sz w:val="22"/>
      <w:lang w:eastAsia="en-US"/>
    </w:rPr>
  </w:style>
  <w:style w:type="paragraph" w:customStyle="1" w:styleId="Bodysubclause">
    <w:name w:val="Body  sub clause"/>
    <w:basedOn w:val="Normal"/>
    <w:rsid w:val="00D50EB6"/>
    <w:pPr>
      <w:spacing w:before="240" w:after="120" w:line="300" w:lineRule="atLeast"/>
      <w:ind w:left="720"/>
      <w:jc w:val="both"/>
    </w:pPr>
    <w:rPr>
      <w:rFonts w:ascii="Times New Roman" w:hAnsi="Times New Roman"/>
      <w:szCs w:val="20"/>
      <w:lang w:eastAsia="en-US"/>
    </w:rPr>
  </w:style>
  <w:style w:type="paragraph" w:styleId="TOC3">
    <w:name w:val="toc 3"/>
    <w:basedOn w:val="Normal"/>
    <w:next w:val="Normal"/>
    <w:autoRedefine/>
    <w:uiPriority w:val="39"/>
    <w:unhideWhenUsed/>
    <w:rsid w:val="00EF3A8D"/>
    <w:pPr>
      <w:ind w:left="440"/>
    </w:pPr>
  </w:style>
  <w:style w:type="character" w:styleId="CommentReference">
    <w:name w:val="annotation reference"/>
    <w:uiPriority w:val="99"/>
    <w:semiHidden/>
    <w:unhideWhenUsed/>
    <w:rsid w:val="002A30BE"/>
    <w:rPr>
      <w:sz w:val="16"/>
      <w:szCs w:val="16"/>
    </w:rPr>
  </w:style>
  <w:style w:type="paragraph" w:styleId="CommentText">
    <w:name w:val="annotation text"/>
    <w:basedOn w:val="Normal"/>
    <w:link w:val="CommentTextChar"/>
    <w:uiPriority w:val="99"/>
    <w:semiHidden/>
    <w:unhideWhenUsed/>
    <w:rsid w:val="002A30BE"/>
    <w:rPr>
      <w:sz w:val="20"/>
      <w:szCs w:val="20"/>
    </w:rPr>
  </w:style>
  <w:style w:type="character" w:customStyle="1" w:styleId="CommentTextChar">
    <w:name w:val="Comment Text Char"/>
    <w:basedOn w:val="DefaultParagraphFont"/>
    <w:link w:val="CommentText"/>
    <w:uiPriority w:val="99"/>
    <w:semiHidden/>
    <w:rsid w:val="002A30BE"/>
  </w:style>
  <w:style w:type="paragraph" w:styleId="CommentSubject">
    <w:name w:val="annotation subject"/>
    <w:basedOn w:val="CommentText"/>
    <w:next w:val="CommentText"/>
    <w:link w:val="CommentSubjectChar"/>
    <w:uiPriority w:val="99"/>
    <w:semiHidden/>
    <w:unhideWhenUsed/>
    <w:rsid w:val="002A30BE"/>
    <w:rPr>
      <w:b/>
      <w:bCs/>
    </w:rPr>
  </w:style>
  <w:style w:type="character" w:customStyle="1" w:styleId="CommentSubjectChar">
    <w:name w:val="Comment Subject Char"/>
    <w:link w:val="CommentSubject"/>
    <w:uiPriority w:val="99"/>
    <w:semiHidden/>
    <w:rsid w:val="002A30BE"/>
    <w:rPr>
      <w:b/>
      <w:bCs/>
    </w:rPr>
  </w:style>
  <w:style w:type="character" w:styleId="UnresolvedMention">
    <w:name w:val="Unresolved Mention"/>
    <w:uiPriority w:val="99"/>
    <w:semiHidden/>
    <w:unhideWhenUsed/>
    <w:rsid w:val="00B42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8027">
      <w:bodyDiv w:val="1"/>
      <w:marLeft w:val="0"/>
      <w:marRight w:val="0"/>
      <w:marTop w:val="0"/>
      <w:marBottom w:val="0"/>
      <w:divBdr>
        <w:top w:val="none" w:sz="0" w:space="0" w:color="auto"/>
        <w:left w:val="none" w:sz="0" w:space="0" w:color="auto"/>
        <w:bottom w:val="none" w:sz="0" w:space="0" w:color="auto"/>
        <w:right w:val="none" w:sz="0" w:space="0" w:color="auto"/>
      </w:divBdr>
    </w:div>
    <w:div w:id="1274363764">
      <w:bodyDiv w:val="1"/>
      <w:marLeft w:val="0"/>
      <w:marRight w:val="0"/>
      <w:marTop w:val="0"/>
      <w:marBottom w:val="0"/>
      <w:divBdr>
        <w:top w:val="none" w:sz="0" w:space="0" w:color="auto"/>
        <w:left w:val="none" w:sz="0" w:space="0" w:color="auto"/>
        <w:bottom w:val="none" w:sz="0" w:space="0" w:color="auto"/>
        <w:right w:val="none" w:sz="0" w:space="0" w:color="auto"/>
      </w:divBdr>
    </w:div>
    <w:div w:id="1882284073">
      <w:bodyDiv w:val="1"/>
      <w:marLeft w:val="0"/>
      <w:marRight w:val="0"/>
      <w:marTop w:val="0"/>
      <w:marBottom w:val="0"/>
      <w:divBdr>
        <w:top w:val="none" w:sz="0" w:space="0" w:color="auto"/>
        <w:left w:val="none" w:sz="0" w:space="0" w:color="auto"/>
        <w:bottom w:val="none" w:sz="0" w:space="0" w:color="auto"/>
        <w:right w:val="none" w:sz="0" w:space="0" w:color="auto"/>
      </w:divBdr>
    </w:div>
    <w:div w:id="2021852485">
      <w:bodyDiv w:val="1"/>
      <w:marLeft w:val="0"/>
      <w:marRight w:val="0"/>
      <w:marTop w:val="0"/>
      <w:marBottom w:val="0"/>
      <w:divBdr>
        <w:top w:val="none" w:sz="0" w:space="0" w:color="auto"/>
        <w:left w:val="none" w:sz="0" w:space="0" w:color="auto"/>
        <w:bottom w:val="none" w:sz="0" w:space="0" w:color="auto"/>
        <w:right w:val="none" w:sz="0" w:space="0" w:color="auto"/>
      </w:divBdr>
    </w:div>
    <w:div w:id="208479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3DFC4-B738-48A4-8477-FBAFB2C0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1595</Words>
  <Characters>9095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EMPLOYEE HANDBOOK</vt:lpstr>
    </vt:vector>
  </TitlesOfParts>
  <Company>Hewlett-Packard Company</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HANDBOOK</dc:title>
  <dc:subject/>
  <dc:creator>LeanneC</dc:creator>
  <cp:keywords/>
  <cp:lastModifiedBy>Timothy Van Zyl</cp:lastModifiedBy>
  <cp:revision>21</cp:revision>
  <cp:lastPrinted>2016-11-23T14:21:00Z</cp:lastPrinted>
  <dcterms:created xsi:type="dcterms:W3CDTF">2021-12-29T17:03:00Z</dcterms:created>
  <dcterms:modified xsi:type="dcterms:W3CDTF">2024-02-06T10:44:00Z</dcterms:modified>
</cp:coreProperties>
</file>